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8279" w14:textId="77777777" w:rsidR="0080158A" w:rsidRDefault="0080158A" w:rsidP="0080158A">
      <w:pPr>
        <w:jc w:val="center"/>
        <w:rPr>
          <w:rFonts w:ascii="Times New Roman" w:hAnsi="Times New Roman" w:cs="Times New Roman"/>
          <w:b/>
          <w:bCs/>
          <w:u w:val="single"/>
        </w:rPr>
      </w:pPr>
      <w:r>
        <w:rPr>
          <w:rFonts w:ascii="Times New Roman" w:hAnsi="Times New Roman" w:cs="Times New Roman"/>
          <w:b/>
          <w:bCs/>
          <w:noProof/>
          <w:u w:val="single"/>
        </w:rPr>
        <w:drawing>
          <wp:anchor distT="0" distB="0" distL="114300" distR="114300" simplePos="0" relativeHeight="251659264" behindDoc="0" locked="0" layoutInCell="1" allowOverlap="1" wp14:anchorId="45C4551E" wp14:editId="17CCEBE1">
            <wp:simplePos x="0" y="0"/>
            <wp:positionH relativeFrom="margin">
              <wp:posOffset>-832485</wp:posOffset>
            </wp:positionH>
            <wp:positionV relativeFrom="paragraph">
              <wp:posOffset>-614045</wp:posOffset>
            </wp:positionV>
            <wp:extent cx="1635071" cy="614855"/>
            <wp:effectExtent l="0" t="0" r="3810" b="0"/>
            <wp:wrapNone/>
            <wp:docPr id="1"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5071" cy="614855"/>
                    </a:xfrm>
                    <a:prstGeom prst="rect">
                      <a:avLst/>
                    </a:prstGeom>
                  </pic:spPr>
                </pic:pic>
              </a:graphicData>
            </a:graphic>
            <wp14:sizeRelH relativeFrom="page">
              <wp14:pctWidth>0</wp14:pctWidth>
            </wp14:sizeRelH>
            <wp14:sizeRelV relativeFrom="page">
              <wp14:pctHeight>0</wp14:pctHeight>
            </wp14:sizeRelV>
          </wp:anchor>
        </w:drawing>
      </w:r>
    </w:p>
    <w:p w14:paraId="25C5A921" w14:textId="488005EB" w:rsidR="0080158A" w:rsidRDefault="001023A9" w:rsidP="0080158A">
      <w:pPr>
        <w:jc w:val="center"/>
        <w:rPr>
          <w:rFonts w:ascii="Times New Roman" w:hAnsi="Times New Roman" w:cs="Times New Roman"/>
          <w:b/>
          <w:bCs/>
          <w:u w:val="single"/>
        </w:rPr>
      </w:pPr>
      <w:r>
        <w:rPr>
          <w:rFonts w:ascii="Times New Roman" w:hAnsi="Times New Roman" w:cs="Times New Roman"/>
          <w:b/>
          <w:bCs/>
          <w:u w:val="single"/>
        </w:rPr>
        <w:t>Modifications</w:t>
      </w:r>
      <w:r w:rsidR="0080158A" w:rsidRPr="00A36F2B">
        <w:rPr>
          <w:rFonts w:ascii="Times New Roman" w:hAnsi="Times New Roman" w:cs="Times New Roman"/>
          <w:b/>
          <w:bCs/>
          <w:u w:val="single"/>
        </w:rPr>
        <w:t xml:space="preserve"> </w:t>
      </w:r>
      <w:r w:rsidR="0080158A">
        <w:rPr>
          <w:rFonts w:ascii="Times New Roman" w:hAnsi="Times New Roman" w:cs="Times New Roman"/>
          <w:b/>
          <w:bCs/>
          <w:u w:val="single"/>
        </w:rPr>
        <w:t>au R</w:t>
      </w:r>
      <w:r w:rsidR="0080158A" w:rsidRPr="00A36F2B">
        <w:rPr>
          <w:rFonts w:ascii="Times New Roman" w:hAnsi="Times New Roman" w:cs="Times New Roman"/>
          <w:b/>
          <w:bCs/>
          <w:u w:val="single"/>
        </w:rPr>
        <w:t>èglement sur la santé et la sécurité au travail</w:t>
      </w:r>
      <w:r w:rsidR="0080158A">
        <w:rPr>
          <w:rFonts w:ascii="Times New Roman" w:hAnsi="Times New Roman" w:cs="Times New Roman"/>
          <w:b/>
          <w:bCs/>
          <w:u w:val="single"/>
        </w:rPr>
        <w:br/>
      </w:r>
      <w:r w:rsidR="0080158A" w:rsidRPr="00A36F2B">
        <w:rPr>
          <w:rFonts w:ascii="Times New Roman" w:hAnsi="Times New Roman" w:cs="Times New Roman"/>
          <w:b/>
          <w:bCs/>
          <w:u w:val="single"/>
        </w:rPr>
        <w:t>concernant l</w:t>
      </w:r>
      <w:r w:rsidR="0080158A">
        <w:rPr>
          <w:rFonts w:ascii="Times New Roman" w:hAnsi="Times New Roman" w:cs="Times New Roman"/>
          <w:b/>
          <w:bCs/>
          <w:u w:val="single"/>
        </w:rPr>
        <w:t>a sécurité des machines (section XXI), en vigueur le 27 juillet 2023</w:t>
      </w:r>
    </w:p>
    <w:p w14:paraId="598090FA" w14:textId="6C1B5825" w:rsidR="004A293B" w:rsidRDefault="004A293B" w:rsidP="0080158A">
      <w:pPr>
        <w:jc w:val="center"/>
        <w:rPr>
          <w:rFonts w:ascii="Times New Roman" w:hAnsi="Times New Roman" w:cs="Times New Roman"/>
          <w:b/>
          <w:bCs/>
          <w:color w:val="FF0000"/>
        </w:rPr>
      </w:pPr>
      <w:r w:rsidRPr="004A293B">
        <w:rPr>
          <w:rFonts w:ascii="Times New Roman" w:hAnsi="Times New Roman" w:cs="Times New Roman"/>
          <w:b/>
          <w:bCs/>
          <w:color w:val="FF0000"/>
        </w:rPr>
        <w:t xml:space="preserve">AVIS : </w:t>
      </w:r>
      <w:r w:rsidR="004D2F99">
        <w:rPr>
          <w:rFonts w:ascii="Times New Roman" w:hAnsi="Times New Roman" w:cs="Times New Roman"/>
          <w:b/>
          <w:bCs/>
          <w:color w:val="FF0000"/>
        </w:rPr>
        <w:t xml:space="preserve">ce document ne comprend que les « modifications ». Pour le texte intégral, consulter le </w:t>
      </w:r>
      <w:hyperlink r:id="rId6" w:anchor="ga:l_xxi-h1" w:history="1">
        <w:r w:rsidR="004D2F99" w:rsidRPr="004D2F99">
          <w:rPr>
            <w:rStyle w:val="Lienhypertexte"/>
            <w:rFonts w:ascii="Times New Roman" w:hAnsi="Times New Roman" w:cs="Times New Roman"/>
            <w:b/>
            <w:bCs/>
          </w:rPr>
          <w:t>Règlement sur la santé et la sécurité du travail mis à jour</w:t>
        </w:r>
      </w:hyperlink>
    </w:p>
    <w:p w14:paraId="133F51F2" w14:textId="77777777" w:rsidR="004D2F99" w:rsidRDefault="004D2F99" w:rsidP="0080158A">
      <w:pPr>
        <w:jc w:val="center"/>
        <w:rPr>
          <w:rFonts w:ascii="Times New Roman" w:hAnsi="Times New Roman" w:cs="Times New Roman"/>
          <w:b/>
          <w:bCs/>
          <w:color w:val="FF0000"/>
        </w:rPr>
      </w:pPr>
    </w:p>
    <w:p w14:paraId="7B878258" w14:textId="0E7A4857" w:rsidR="0080158A" w:rsidRPr="00B32B19" w:rsidRDefault="0080158A" w:rsidP="00501462">
      <w:pPr>
        <w:pStyle w:val="Paragraphedeliste"/>
        <w:numPr>
          <w:ilvl w:val="0"/>
          <w:numId w:val="1"/>
        </w:numPr>
        <w:contextualSpacing w:val="0"/>
        <w:rPr>
          <w:rFonts w:ascii="Times New Roman" w:hAnsi="Times New Roman" w:cs="Times New Roman"/>
          <w:b/>
          <w:bCs/>
        </w:rPr>
      </w:pPr>
      <w:r w:rsidRPr="00E0280B">
        <w:rPr>
          <w:rFonts w:ascii="Times New Roman" w:hAnsi="Times New Roman" w:cs="Times New Roman"/>
          <w:b/>
          <w:bCs/>
        </w:rPr>
        <w:t>Définition</w:t>
      </w:r>
      <w:r w:rsidR="001B6431">
        <w:rPr>
          <w:rFonts w:ascii="Times New Roman" w:hAnsi="Times New Roman" w:cs="Times New Roman"/>
          <w:b/>
          <w:bCs/>
        </w:rPr>
        <w:t>s</w:t>
      </w:r>
      <w:r w:rsidRPr="00E0280B">
        <w:rPr>
          <w:rFonts w:ascii="Times New Roman" w:hAnsi="Times New Roman" w:cs="Times New Roman"/>
          <w:b/>
          <w:bCs/>
        </w:rPr>
        <w:t xml:space="preserve"> (art. </w:t>
      </w:r>
      <w:r w:rsidR="001B6431">
        <w:rPr>
          <w:rFonts w:ascii="Times New Roman" w:hAnsi="Times New Roman" w:cs="Times New Roman"/>
          <w:b/>
          <w:bCs/>
        </w:rPr>
        <w:t>172</w:t>
      </w:r>
      <w:r w:rsidRPr="00E0280B">
        <w:rPr>
          <w:rFonts w:ascii="Times New Roman" w:hAnsi="Times New Roman" w:cs="Times New Roman"/>
          <w:b/>
          <w:bCs/>
        </w:rPr>
        <w:t>)</w:t>
      </w:r>
      <w:r w:rsidR="00B32B19">
        <w:rPr>
          <w:rFonts w:ascii="Times New Roman" w:hAnsi="Times New Roman" w:cs="Times New Roman"/>
          <w:b/>
          <w:bCs/>
        </w:rPr>
        <w:br/>
      </w:r>
      <w:r w:rsidR="00B91658">
        <w:rPr>
          <w:rFonts w:ascii="Times New Roman" w:hAnsi="Times New Roman" w:cs="Times New Roman"/>
        </w:rPr>
        <w:t>Inclu</w:t>
      </w:r>
      <w:r w:rsidR="004D2F99">
        <w:rPr>
          <w:rFonts w:ascii="Times New Roman" w:hAnsi="Times New Roman" w:cs="Times New Roman"/>
        </w:rPr>
        <w:t xml:space="preserve">t maintenant </w:t>
      </w:r>
      <w:r w:rsidR="001A50AE">
        <w:rPr>
          <w:rFonts w:ascii="Times New Roman" w:hAnsi="Times New Roman" w:cs="Times New Roman"/>
        </w:rPr>
        <w:t>l’ensemble des</w:t>
      </w:r>
      <w:r w:rsidR="00501462">
        <w:rPr>
          <w:rFonts w:ascii="Times New Roman" w:hAnsi="Times New Roman" w:cs="Times New Roman"/>
        </w:rPr>
        <w:t xml:space="preserve"> définitions </w:t>
      </w:r>
      <w:r w:rsidR="001A50AE">
        <w:rPr>
          <w:rFonts w:ascii="Times New Roman" w:hAnsi="Times New Roman" w:cs="Times New Roman"/>
        </w:rPr>
        <w:t>liées à</w:t>
      </w:r>
      <w:r w:rsidR="001B6431" w:rsidRPr="00B32B19">
        <w:rPr>
          <w:rFonts w:ascii="Times New Roman" w:hAnsi="Times New Roman" w:cs="Times New Roman"/>
        </w:rPr>
        <w:t xml:space="preserve"> </w:t>
      </w:r>
      <w:r w:rsidR="00501462">
        <w:rPr>
          <w:rFonts w:ascii="Times New Roman" w:hAnsi="Times New Roman" w:cs="Times New Roman"/>
        </w:rPr>
        <w:t>la sécurité des</w:t>
      </w:r>
      <w:r w:rsidR="001B6431" w:rsidRPr="00B32B19">
        <w:rPr>
          <w:rFonts w:ascii="Times New Roman" w:hAnsi="Times New Roman" w:cs="Times New Roman"/>
        </w:rPr>
        <w:t xml:space="preserve"> machines</w:t>
      </w:r>
      <w:r w:rsidR="00955E36">
        <w:rPr>
          <w:rFonts w:ascii="Times New Roman" w:hAnsi="Times New Roman" w:cs="Times New Roman"/>
        </w:rPr>
        <w:t>.</w:t>
      </w:r>
    </w:p>
    <w:p w14:paraId="71DF0B1B" w14:textId="72FB00A1" w:rsidR="00765B3E" w:rsidRPr="00B91658" w:rsidRDefault="00765B3E" w:rsidP="00B32B19">
      <w:pPr>
        <w:pStyle w:val="Paragraphedeliste"/>
        <w:numPr>
          <w:ilvl w:val="0"/>
          <w:numId w:val="1"/>
        </w:numPr>
        <w:contextualSpacing w:val="0"/>
        <w:rPr>
          <w:rFonts w:ascii="Times New Roman" w:hAnsi="Times New Roman" w:cs="Times New Roman"/>
          <w:b/>
          <w:bCs/>
        </w:rPr>
      </w:pPr>
      <w:r w:rsidRPr="00765B3E">
        <w:rPr>
          <w:rFonts w:ascii="Times New Roman" w:hAnsi="Times New Roman" w:cs="Times New Roman"/>
          <w:b/>
          <w:bCs/>
        </w:rPr>
        <w:t xml:space="preserve">Objet (art. 173) </w:t>
      </w:r>
      <w:r w:rsidR="00B32B19">
        <w:rPr>
          <w:rFonts w:ascii="Times New Roman" w:hAnsi="Times New Roman" w:cs="Times New Roman"/>
          <w:b/>
          <w:bCs/>
        </w:rPr>
        <w:br/>
      </w:r>
      <w:r w:rsidR="001023A9">
        <w:rPr>
          <w:rFonts w:ascii="Times New Roman" w:hAnsi="Times New Roman" w:cs="Times New Roman"/>
        </w:rPr>
        <w:t>Ajout de l’objet</w:t>
      </w:r>
      <w:r w:rsidR="00B0692E">
        <w:rPr>
          <w:rFonts w:ascii="Times New Roman" w:hAnsi="Times New Roman" w:cs="Times New Roman"/>
        </w:rPr>
        <w:t xml:space="preserve"> de la section XXI du règlement </w:t>
      </w:r>
      <w:r w:rsidR="00051761">
        <w:rPr>
          <w:rFonts w:ascii="Times New Roman" w:hAnsi="Times New Roman" w:cs="Times New Roman"/>
        </w:rPr>
        <w:t xml:space="preserve">et </w:t>
      </w:r>
      <w:r w:rsidR="00B91658">
        <w:rPr>
          <w:rFonts w:ascii="Times New Roman" w:hAnsi="Times New Roman" w:cs="Times New Roman"/>
        </w:rPr>
        <w:t>d</w:t>
      </w:r>
      <w:r w:rsidR="00051761">
        <w:rPr>
          <w:rFonts w:ascii="Times New Roman" w:hAnsi="Times New Roman" w:cs="Times New Roman"/>
        </w:rPr>
        <w:t>es éléments qui sont visés par des exigences de sécurité.</w:t>
      </w:r>
    </w:p>
    <w:p w14:paraId="3B8BDCE5" w14:textId="4AE8B807" w:rsidR="00B91658" w:rsidRPr="00B20B56" w:rsidRDefault="00B91658" w:rsidP="00E421FF">
      <w:pPr>
        <w:spacing w:before="240" w:after="240"/>
        <w:rPr>
          <w:rFonts w:ascii="Times New Roman" w:hAnsi="Times New Roman" w:cs="Times New Roman"/>
          <w:b/>
          <w:bCs/>
          <w:i/>
          <w:iCs/>
          <w:color w:val="FF0000"/>
        </w:rPr>
      </w:pPr>
      <w:r w:rsidRPr="00B20B56">
        <w:rPr>
          <w:rFonts w:ascii="Times New Roman" w:hAnsi="Times New Roman" w:cs="Times New Roman"/>
          <w:b/>
          <w:bCs/>
          <w:i/>
          <w:iCs/>
          <w:color w:val="FF0000"/>
        </w:rPr>
        <w:t>Articles 174</w:t>
      </w:r>
      <w:r w:rsidR="006B0C0A" w:rsidRPr="00B20B56">
        <w:rPr>
          <w:rFonts w:ascii="Times New Roman" w:hAnsi="Times New Roman" w:cs="Times New Roman"/>
          <w:b/>
          <w:bCs/>
          <w:i/>
          <w:iCs/>
          <w:color w:val="FF0000"/>
        </w:rPr>
        <w:t xml:space="preserve"> à </w:t>
      </w:r>
      <w:r w:rsidRPr="00B20B56">
        <w:rPr>
          <w:rFonts w:ascii="Times New Roman" w:hAnsi="Times New Roman" w:cs="Times New Roman"/>
          <w:b/>
          <w:bCs/>
          <w:i/>
          <w:iCs/>
          <w:color w:val="FF0000"/>
        </w:rPr>
        <w:t>1</w:t>
      </w:r>
      <w:r w:rsidR="00955E36" w:rsidRPr="00B20B56">
        <w:rPr>
          <w:rFonts w:ascii="Times New Roman" w:hAnsi="Times New Roman" w:cs="Times New Roman"/>
          <w:b/>
          <w:bCs/>
          <w:i/>
          <w:iCs/>
          <w:color w:val="FF0000"/>
        </w:rPr>
        <w:t>94</w:t>
      </w:r>
      <w:r w:rsidR="004E2F67" w:rsidRPr="00B20B56">
        <w:rPr>
          <w:rFonts w:ascii="Times New Roman" w:hAnsi="Times New Roman" w:cs="Times New Roman"/>
          <w:b/>
          <w:bCs/>
          <w:i/>
          <w:iCs/>
          <w:color w:val="FF0000"/>
        </w:rPr>
        <w:t> :</w:t>
      </w:r>
      <w:r w:rsidRPr="00B20B56">
        <w:rPr>
          <w:rFonts w:ascii="Times New Roman" w:hAnsi="Times New Roman" w:cs="Times New Roman"/>
          <w:b/>
          <w:bCs/>
          <w:i/>
          <w:iCs/>
          <w:color w:val="FF0000"/>
        </w:rPr>
        <w:t xml:space="preserve"> </w:t>
      </w:r>
      <w:r w:rsidR="00320C71" w:rsidRPr="00B20B56">
        <w:rPr>
          <w:rFonts w:ascii="Times New Roman" w:hAnsi="Times New Roman" w:cs="Times New Roman"/>
          <w:b/>
          <w:bCs/>
          <w:i/>
          <w:iCs/>
          <w:color w:val="FF0000"/>
        </w:rPr>
        <w:t>« </w:t>
      </w:r>
      <w:r w:rsidR="004E2F67" w:rsidRPr="00B20B56">
        <w:rPr>
          <w:rFonts w:ascii="Times New Roman" w:hAnsi="Times New Roman" w:cs="Times New Roman"/>
          <w:b/>
          <w:bCs/>
          <w:i/>
          <w:iCs/>
          <w:color w:val="FF0000"/>
        </w:rPr>
        <w:t>dispositions générales</w:t>
      </w:r>
      <w:r w:rsidR="00320C71" w:rsidRPr="00B20B56">
        <w:rPr>
          <w:rFonts w:ascii="Times New Roman" w:hAnsi="Times New Roman" w:cs="Times New Roman"/>
          <w:b/>
          <w:bCs/>
          <w:i/>
          <w:iCs/>
          <w:color w:val="FF0000"/>
        </w:rPr>
        <w:t> »</w:t>
      </w:r>
      <w:r w:rsidR="004E2F67" w:rsidRPr="00B20B56">
        <w:rPr>
          <w:rFonts w:ascii="Times New Roman" w:hAnsi="Times New Roman" w:cs="Times New Roman"/>
          <w:b/>
          <w:bCs/>
          <w:i/>
          <w:iCs/>
          <w:color w:val="FF0000"/>
        </w:rPr>
        <w:t xml:space="preserve"> : il s’agit </w:t>
      </w:r>
      <w:r w:rsidR="001023A9" w:rsidRPr="00B20B56">
        <w:rPr>
          <w:rFonts w:ascii="Times New Roman" w:hAnsi="Times New Roman" w:cs="Times New Roman"/>
          <w:b/>
          <w:bCs/>
          <w:i/>
          <w:iCs/>
          <w:color w:val="FF0000"/>
        </w:rPr>
        <w:t xml:space="preserve">généralement </w:t>
      </w:r>
      <w:r w:rsidR="004E2F67" w:rsidRPr="00B20B56">
        <w:rPr>
          <w:rFonts w:ascii="Times New Roman" w:hAnsi="Times New Roman" w:cs="Times New Roman"/>
          <w:b/>
          <w:bCs/>
          <w:i/>
          <w:iCs/>
          <w:color w:val="FF0000"/>
        </w:rPr>
        <w:t xml:space="preserve">de </w:t>
      </w:r>
      <w:r w:rsidR="004D2F99">
        <w:rPr>
          <w:rFonts w:ascii="Times New Roman" w:hAnsi="Times New Roman" w:cs="Times New Roman"/>
          <w:b/>
          <w:bCs/>
          <w:i/>
          <w:iCs/>
          <w:color w:val="FF0000"/>
        </w:rPr>
        <w:t>« </w:t>
      </w:r>
      <w:r w:rsidR="004E2F67" w:rsidRPr="00B20B56">
        <w:rPr>
          <w:rFonts w:ascii="Times New Roman" w:hAnsi="Times New Roman" w:cs="Times New Roman"/>
          <w:b/>
          <w:bCs/>
          <w:i/>
          <w:iCs/>
          <w:color w:val="FF0000"/>
        </w:rPr>
        <w:t>nouveaux</w:t>
      </w:r>
      <w:r w:rsidR="004D2F99">
        <w:rPr>
          <w:rFonts w:ascii="Times New Roman" w:hAnsi="Times New Roman" w:cs="Times New Roman"/>
          <w:b/>
          <w:bCs/>
          <w:i/>
          <w:iCs/>
          <w:color w:val="FF0000"/>
        </w:rPr>
        <w:t> »</w:t>
      </w:r>
      <w:r w:rsidR="004E2F67" w:rsidRPr="00B20B56">
        <w:rPr>
          <w:rFonts w:ascii="Times New Roman" w:hAnsi="Times New Roman" w:cs="Times New Roman"/>
          <w:b/>
          <w:bCs/>
          <w:i/>
          <w:iCs/>
          <w:color w:val="FF0000"/>
        </w:rPr>
        <w:t xml:space="preserve"> articles qui </w:t>
      </w:r>
      <w:r w:rsidR="00B92A3A" w:rsidRPr="00B20B56">
        <w:rPr>
          <w:rFonts w:ascii="Times New Roman" w:hAnsi="Times New Roman" w:cs="Times New Roman"/>
          <w:b/>
          <w:bCs/>
          <w:i/>
          <w:iCs/>
          <w:color w:val="FF0000"/>
        </w:rPr>
        <w:t>n’existaient</w:t>
      </w:r>
      <w:r w:rsidR="004E2F67" w:rsidRPr="00B20B56">
        <w:rPr>
          <w:rFonts w:ascii="Times New Roman" w:hAnsi="Times New Roman" w:cs="Times New Roman"/>
          <w:b/>
          <w:bCs/>
          <w:i/>
          <w:iCs/>
          <w:color w:val="FF0000"/>
        </w:rPr>
        <w:t xml:space="preserve"> pas </w:t>
      </w:r>
      <w:r w:rsidR="001023A9" w:rsidRPr="00B20B56">
        <w:rPr>
          <w:rFonts w:ascii="Times New Roman" w:hAnsi="Times New Roman" w:cs="Times New Roman"/>
          <w:b/>
          <w:bCs/>
          <w:i/>
          <w:iCs/>
          <w:color w:val="FF0000"/>
        </w:rPr>
        <w:t>avant</w:t>
      </w:r>
      <w:r w:rsidR="004D2F99">
        <w:rPr>
          <w:rFonts w:ascii="Times New Roman" w:hAnsi="Times New Roman" w:cs="Times New Roman"/>
          <w:b/>
          <w:bCs/>
          <w:i/>
          <w:iCs/>
          <w:color w:val="FF0000"/>
        </w:rPr>
        <w:t xml:space="preserve"> la mise à jour de</w:t>
      </w:r>
      <w:r w:rsidR="001023A9" w:rsidRPr="00B20B56">
        <w:rPr>
          <w:rFonts w:ascii="Times New Roman" w:hAnsi="Times New Roman" w:cs="Times New Roman"/>
          <w:b/>
          <w:bCs/>
          <w:i/>
          <w:iCs/>
          <w:color w:val="FF0000"/>
        </w:rPr>
        <w:t xml:space="preserve"> juillet 2023 </w:t>
      </w:r>
      <w:r w:rsidR="006B0C0A" w:rsidRPr="00B20B56">
        <w:rPr>
          <w:rFonts w:ascii="Times New Roman" w:hAnsi="Times New Roman" w:cs="Times New Roman"/>
          <w:b/>
          <w:bCs/>
          <w:i/>
          <w:iCs/>
          <w:color w:val="FF0000"/>
        </w:rPr>
        <w:t xml:space="preserve">ou dont la définition a été </w:t>
      </w:r>
      <w:r w:rsidR="00DA1F50" w:rsidRPr="00B20B56">
        <w:rPr>
          <w:rFonts w:ascii="Times New Roman" w:hAnsi="Times New Roman" w:cs="Times New Roman"/>
          <w:b/>
          <w:bCs/>
          <w:i/>
          <w:iCs/>
          <w:color w:val="FF0000"/>
        </w:rPr>
        <w:t>modifiée</w:t>
      </w:r>
      <w:r w:rsidR="006B0C0A" w:rsidRPr="00B20B56">
        <w:rPr>
          <w:rFonts w:ascii="Times New Roman" w:hAnsi="Times New Roman" w:cs="Times New Roman"/>
          <w:b/>
          <w:bCs/>
          <w:i/>
          <w:iCs/>
          <w:color w:val="FF0000"/>
        </w:rPr>
        <w:t>.</w:t>
      </w:r>
    </w:p>
    <w:p w14:paraId="0B3A06FC" w14:textId="6E5C83BE" w:rsidR="00765B3E" w:rsidRPr="00B32B19" w:rsidRDefault="00765B3E" w:rsidP="00B32B19">
      <w:pPr>
        <w:pStyle w:val="Paragraphedeliste"/>
        <w:numPr>
          <w:ilvl w:val="0"/>
          <w:numId w:val="1"/>
        </w:numPr>
        <w:contextualSpacing w:val="0"/>
        <w:rPr>
          <w:rFonts w:ascii="Times New Roman" w:hAnsi="Times New Roman" w:cs="Times New Roman"/>
          <w:b/>
          <w:bCs/>
        </w:rPr>
      </w:pPr>
      <w:r w:rsidRPr="00765B3E">
        <w:rPr>
          <w:rFonts w:ascii="Times New Roman" w:hAnsi="Times New Roman" w:cs="Times New Roman"/>
          <w:b/>
          <w:bCs/>
        </w:rPr>
        <w:t>Manuel d’instruction du fabricant (art.</w:t>
      </w:r>
      <w:r w:rsidR="001D7E55">
        <w:rPr>
          <w:rFonts w:ascii="Times New Roman" w:hAnsi="Times New Roman" w:cs="Times New Roman"/>
          <w:b/>
          <w:bCs/>
        </w:rPr>
        <w:t xml:space="preserve"> </w:t>
      </w:r>
      <w:r w:rsidRPr="00765B3E">
        <w:rPr>
          <w:rFonts w:ascii="Times New Roman" w:hAnsi="Times New Roman" w:cs="Times New Roman"/>
          <w:b/>
          <w:bCs/>
        </w:rPr>
        <w:t>174)</w:t>
      </w:r>
      <w:r w:rsidR="00B32B19">
        <w:rPr>
          <w:rFonts w:ascii="Times New Roman" w:hAnsi="Times New Roman" w:cs="Times New Roman"/>
          <w:b/>
          <w:bCs/>
        </w:rPr>
        <w:br/>
      </w:r>
      <w:r w:rsidR="00B91658">
        <w:rPr>
          <w:rFonts w:ascii="Times New Roman" w:hAnsi="Times New Roman" w:cs="Times New Roman"/>
        </w:rPr>
        <w:t>Obligation</w:t>
      </w:r>
      <w:r w:rsidRPr="00B32B19">
        <w:rPr>
          <w:rFonts w:ascii="Times New Roman" w:hAnsi="Times New Roman" w:cs="Times New Roman"/>
        </w:rPr>
        <w:t xml:space="preserve"> pour toute machine </w:t>
      </w:r>
      <w:r w:rsidR="00501462">
        <w:rPr>
          <w:rFonts w:ascii="Times New Roman" w:hAnsi="Times New Roman" w:cs="Times New Roman"/>
        </w:rPr>
        <w:t>d’être accompagnée</w:t>
      </w:r>
      <w:r w:rsidRPr="00B32B19">
        <w:rPr>
          <w:rFonts w:ascii="Times New Roman" w:hAnsi="Times New Roman" w:cs="Times New Roman"/>
        </w:rPr>
        <w:t xml:space="preserve"> d’un manuel d’instruction du fabricant </w:t>
      </w:r>
      <w:r w:rsidR="00501462">
        <w:rPr>
          <w:rFonts w:ascii="Times New Roman" w:hAnsi="Times New Roman" w:cs="Times New Roman"/>
        </w:rPr>
        <w:t xml:space="preserve">et </w:t>
      </w:r>
      <w:r w:rsidR="005C03BB">
        <w:rPr>
          <w:rFonts w:ascii="Times New Roman" w:hAnsi="Times New Roman" w:cs="Times New Roman"/>
        </w:rPr>
        <w:t xml:space="preserve">précisions quant aux </w:t>
      </w:r>
      <w:r w:rsidR="00501462">
        <w:rPr>
          <w:rFonts w:ascii="Times New Roman" w:hAnsi="Times New Roman" w:cs="Times New Roman"/>
        </w:rPr>
        <w:t>i</w:t>
      </w:r>
      <w:r w:rsidRPr="00B32B19">
        <w:rPr>
          <w:rFonts w:ascii="Times New Roman" w:hAnsi="Times New Roman" w:cs="Times New Roman"/>
        </w:rPr>
        <w:t xml:space="preserve">nformations </w:t>
      </w:r>
      <w:r w:rsidR="00501462">
        <w:rPr>
          <w:rFonts w:ascii="Times New Roman" w:hAnsi="Times New Roman" w:cs="Times New Roman"/>
        </w:rPr>
        <w:t xml:space="preserve">minimales </w:t>
      </w:r>
      <w:r w:rsidR="00051761">
        <w:rPr>
          <w:rFonts w:ascii="Times New Roman" w:hAnsi="Times New Roman" w:cs="Times New Roman"/>
        </w:rPr>
        <w:t>devant</w:t>
      </w:r>
      <w:r w:rsidR="00501462">
        <w:rPr>
          <w:rFonts w:ascii="Times New Roman" w:hAnsi="Times New Roman" w:cs="Times New Roman"/>
        </w:rPr>
        <w:t xml:space="preserve"> s’y retrouver. </w:t>
      </w:r>
      <w:r w:rsidR="00051761">
        <w:rPr>
          <w:rFonts w:ascii="Times New Roman" w:hAnsi="Times New Roman" w:cs="Times New Roman"/>
        </w:rPr>
        <w:t>L</w:t>
      </w:r>
      <w:r w:rsidR="00501462">
        <w:rPr>
          <w:rFonts w:ascii="Times New Roman" w:hAnsi="Times New Roman" w:cs="Times New Roman"/>
        </w:rPr>
        <w:t xml:space="preserve">es informations manquantes </w:t>
      </w:r>
      <w:r w:rsidRPr="00B32B19">
        <w:rPr>
          <w:rFonts w:ascii="Times New Roman" w:hAnsi="Times New Roman" w:cs="Times New Roman"/>
        </w:rPr>
        <w:t>doivent être ajouté</w:t>
      </w:r>
      <w:r w:rsidR="00051761">
        <w:rPr>
          <w:rFonts w:ascii="Times New Roman" w:hAnsi="Times New Roman" w:cs="Times New Roman"/>
        </w:rPr>
        <w:t>e</w:t>
      </w:r>
      <w:r w:rsidRPr="00B32B19">
        <w:rPr>
          <w:rFonts w:ascii="Times New Roman" w:hAnsi="Times New Roman" w:cs="Times New Roman"/>
        </w:rPr>
        <w:t>s par un ingénieur.</w:t>
      </w:r>
    </w:p>
    <w:p w14:paraId="73C4DD0B" w14:textId="6E37067C" w:rsidR="00834460" w:rsidRPr="00B32B19" w:rsidRDefault="003E1019" w:rsidP="00834460">
      <w:pPr>
        <w:pStyle w:val="Paragraphedeliste"/>
        <w:numPr>
          <w:ilvl w:val="0"/>
          <w:numId w:val="1"/>
        </w:numPr>
        <w:contextualSpacing w:val="0"/>
        <w:rPr>
          <w:rFonts w:ascii="Times New Roman" w:hAnsi="Times New Roman" w:cs="Times New Roman"/>
          <w:b/>
          <w:bCs/>
        </w:rPr>
      </w:pPr>
      <w:r w:rsidRPr="003E1019">
        <w:rPr>
          <w:rFonts w:ascii="Times New Roman" w:hAnsi="Times New Roman" w:cs="Times New Roman"/>
          <w:b/>
          <w:bCs/>
        </w:rPr>
        <w:t>Conformité d’une machine (art</w:t>
      </w:r>
      <w:r w:rsidR="001D7E55">
        <w:rPr>
          <w:rFonts w:ascii="Times New Roman" w:hAnsi="Times New Roman" w:cs="Times New Roman"/>
          <w:b/>
          <w:bCs/>
        </w:rPr>
        <w:t>.</w:t>
      </w:r>
      <w:r w:rsidRPr="003E1019">
        <w:rPr>
          <w:rFonts w:ascii="Times New Roman" w:hAnsi="Times New Roman" w:cs="Times New Roman"/>
          <w:b/>
          <w:bCs/>
        </w:rPr>
        <w:t xml:space="preserve"> 175)</w:t>
      </w:r>
      <w:r w:rsidR="00B32B19">
        <w:rPr>
          <w:rFonts w:ascii="Times New Roman" w:hAnsi="Times New Roman" w:cs="Times New Roman"/>
          <w:b/>
          <w:bCs/>
        </w:rPr>
        <w:br/>
      </w:r>
      <w:r w:rsidR="00B91658">
        <w:rPr>
          <w:rFonts w:ascii="Times New Roman" w:hAnsi="Times New Roman" w:cs="Times New Roman"/>
        </w:rPr>
        <w:t>Définition de « </w:t>
      </w:r>
      <w:r w:rsidR="00051761">
        <w:rPr>
          <w:rFonts w:ascii="Times New Roman" w:hAnsi="Times New Roman" w:cs="Times New Roman"/>
        </w:rPr>
        <w:t>conformité d’une machine</w:t>
      </w:r>
      <w:r w:rsidR="00B91658">
        <w:rPr>
          <w:rFonts w:ascii="Times New Roman" w:hAnsi="Times New Roman" w:cs="Times New Roman"/>
        </w:rPr>
        <w:t> »</w:t>
      </w:r>
      <w:r w:rsidR="00051761">
        <w:rPr>
          <w:rFonts w:ascii="Times New Roman" w:hAnsi="Times New Roman" w:cs="Times New Roman"/>
        </w:rPr>
        <w:t xml:space="preserve"> ainsi qu</w:t>
      </w:r>
      <w:r w:rsidR="005C03BB">
        <w:rPr>
          <w:rFonts w:ascii="Times New Roman" w:hAnsi="Times New Roman" w:cs="Times New Roman"/>
        </w:rPr>
        <w:t>e d</w:t>
      </w:r>
      <w:r w:rsidR="00051761">
        <w:rPr>
          <w:rFonts w:ascii="Times New Roman" w:hAnsi="Times New Roman" w:cs="Times New Roman"/>
        </w:rPr>
        <w:t xml:space="preserve">’une </w:t>
      </w:r>
      <w:r w:rsidR="00B91658">
        <w:rPr>
          <w:rFonts w:ascii="Times New Roman" w:hAnsi="Times New Roman" w:cs="Times New Roman"/>
        </w:rPr>
        <w:t>« </w:t>
      </w:r>
      <w:r w:rsidR="00051761">
        <w:rPr>
          <w:rFonts w:ascii="Times New Roman" w:hAnsi="Times New Roman" w:cs="Times New Roman"/>
        </w:rPr>
        <w:t>norme spécifique de fabrication</w:t>
      </w:r>
      <w:r w:rsidR="00B91658">
        <w:rPr>
          <w:rFonts w:ascii="Times New Roman" w:hAnsi="Times New Roman" w:cs="Times New Roman"/>
        </w:rPr>
        <w:t> »</w:t>
      </w:r>
      <w:r w:rsidRPr="00B32B19">
        <w:rPr>
          <w:rFonts w:ascii="Times New Roman" w:hAnsi="Times New Roman" w:cs="Times New Roman"/>
        </w:rPr>
        <w:t xml:space="preserve">. </w:t>
      </w:r>
      <w:r w:rsidR="00834460">
        <w:rPr>
          <w:rFonts w:ascii="Times New Roman" w:hAnsi="Times New Roman" w:cs="Times New Roman"/>
        </w:rPr>
        <w:t xml:space="preserve"> </w:t>
      </w:r>
    </w:p>
    <w:p w14:paraId="619E7AF9" w14:textId="16E92A0D" w:rsidR="00834460" w:rsidRDefault="007E5DC3" w:rsidP="007E5DC3">
      <w:pPr>
        <w:pStyle w:val="Paragraphedeliste"/>
        <w:numPr>
          <w:ilvl w:val="0"/>
          <w:numId w:val="1"/>
        </w:numPr>
        <w:contextualSpacing w:val="0"/>
        <w:rPr>
          <w:rFonts w:ascii="Times New Roman" w:hAnsi="Times New Roman" w:cs="Times New Roman"/>
        </w:rPr>
      </w:pPr>
      <w:r w:rsidRPr="007E5DC3">
        <w:rPr>
          <w:rFonts w:ascii="Times New Roman" w:hAnsi="Times New Roman" w:cs="Times New Roman"/>
          <w:b/>
          <w:bCs/>
        </w:rPr>
        <w:t>Modification d’une machine (art. 176)</w:t>
      </w:r>
      <w:r w:rsidRPr="007E5DC3">
        <w:rPr>
          <w:rFonts w:ascii="Times New Roman" w:hAnsi="Times New Roman" w:cs="Times New Roman"/>
          <w:b/>
          <w:bCs/>
        </w:rPr>
        <w:br/>
      </w:r>
      <w:r w:rsidR="00B91658">
        <w:rPr>
          <w:rFonts w:ascii="Times New Roman" w:hAnsi="Times New Roman" w:cs="Times New Roman"/>
        </w:rPr>
        <w:t>Définition du</w:t>
      </w:r>
      <w:r w:rsidR="00834460">
        <w:rPr>
          <w:rFonts w:ascii="Times New Roman" w:hAnsi="Times New Roman" w:cs="Times New Roman"/>
        </w:rPr>
        <w:t xml:space="preserve"> concept de « modification » </w:t>
      </w:r>
      <w:r w:rsidR="00B91658">
        <w:rPr>
          <w:rFonts w:ascii="Times New Roman" w:hAnsi="Times New Roman" w:cs="Times New Roman"/>
        </w:rPr>
        <w:t>et encadrement d</w:t>
      </w:r>
      <w:r w:rsidR="00834460">
        <w:rPr>
          <w:rFonts w:ascii="Times New Roman" w:hAnsi="Times New Roman" w:cs="Times New Roman"/>
        </w:rPr>
        <w:t xml:space="preserve">es actions visant à modifier une machine, lesquelles, lorsqu’elles peuvent avoir un impact sur la santé et la sécurité des travailleurs, doivent être effectuées sous la supervision d’un ingénieur qui doit attester que les modifications sont sécuritaires. </w:t>
      </w:r>
    </w:p>
    <w:p w14:paraId="38494F11" w14:textId="67FE9826" w:rsidR="001D7E55" w:rsidRPr="001D7E55" w:rsidRDefault="00A4269D" w:rsidP="001D7E55">
      <w:pPr>
        <w:pStyle w:val="Paragraphedeliste"/>
        <w:numPr>
          <w:ilvl w:val="0"/>
          <w:numId w:val="1"/>
        </w:numPr>
        <w:contextualSpacing w:val="0"/>
        <w:rPr>
          <w:rFonts w:ascii="Times New Roman" w:hAnsi="Times New Roman" w:cs="Times New Roman"/>
          <w:b/>
          <w:bCs/>
        </w:rPr>
      </w:pPr>
      <w:r w:rsidRPr="001D7E55">
        <w:rPr>
          <w:rFonts w:ascii="Times New Roman" w:hAnsi="Times New Roman" w:cs="Times New Roman"/>
          <w:b/>
          <w:bCs/>
        </w:rPr>
        <w:t>Choix des moyens de protection (art.</w:t>
      </w:r>
      <w:r w:rsidR="001D7E55" w:rsidRPr="001D7E55">
        <w:rPr>
          <w:rFonts w:ascii="Times New Roman" w:hAnsi="Times New Roman" w:cs="Times New Roman"/>
          <w:b/>
          <w:bCs/>
        </w:rPr>
        <w:t xml:space="preserve"> </w:t>
      </w:r>
      <w:r w:rsidRPr="001D7E55">
        <w:rPr>
          <w:rFonts w:ascii="Times New Roman" w:hAnsi="Times New Roman" w:cs="Times New Roman"/>
          <w:b/>
          <w:bCs/>
        </w:rPr>
        <w:t>177)</w:t>
      </w:r>
      <w:r w:rsidRPr="001D7E55">
        <w:rPr>
          <w:rFonts w:ascii="Times New Roman" w:hAnsi="Times New Roman" w:cs="Times New Roman"/>
          <w:b/>
          <w:bCs/>
        </w:rPr>
        <w:br/>
      </w:r>
      <w:r w:rsidR="00B91658">
        <w:rPr>
          <w:rFonts w:ascii="Times New Roman" w:hAnsi="Times New Roman" w:cs="Times New Roman"/>
        </w:rPr>
        <w:t>Liste des d</w:t>
      </w:r>
      <w:r w:rsidR="00051761" w:rsidRPr="001D7E55">
        <w:rPr>
          <w:rFonts w:ascii="Times New Roman" w:hAnsi="Times New Roman" w:cs="Times New Roman"/>
        </w:rPr>
        <w:t xml:space="preserve">ifférents moyens </w:t>
      </w:r>
      <w:r w:rsidR="00B91658">
        <w:rPr>
          <w:rFonts w:ascii="Times New Roman" w:hAnsi="Times New Roman" w:cs="Times New Roman"/>
        </w:rPr>
        <w:t>visant à</w:t>
      </w:r>
      <w:r w:rsidR="00051761" w:rsidRPr="001D7E55">
        <w:rPr>
          <w:rFonts w:ascii="Times New Roman" w:hAnsi="Times New Roman" w:cs="Times New Roman"/>
        </w:rPr>
        <w:t xml:space="preserve"> </w:t>
      </w:r>
      <w:r w:rsidR="001D7E55" w:rsidRPr="001D7E55">
        <w:rPr>
          <w:rFonts w:ascii="Times New Roman" w:hAnsi="Times New Roman" w:cs="Times New Roman"/>
        </w:rPr>
        <w:t xml:space="preserve">empêcher l’accès à une zone dangereuse ou </w:t>
      </w:r>
      <w:r w:rsidR="00B91658">
        <w:rPr>
          <w:rFonts w:ascii="Times New Roman" w:hAnsi="Times New Roman" w:cs="Times New Roman"/>
        </w:rPr>
        <w:t xml:space="preserve">encore </w:t>
      </w:r>
      <w:r w:rsidR="001D7E55" w:rsidRPr="001D7E55">
        <w:rPr>
          <w:rFonts w:ascii="Times New Roman" w:hAnsi="Times New Roman" w:cs="Times New Roman"/>
        </w:rPr>
        <w:t xml:space="preserve">pour y accéder sécuritairement durant le fonctionnement d’une machine, en fonction d’une analyse de risques reconnue. </w:t>
      </w:r>
      <w:r w:rsidR="00B91658">
        <w:rPr>
          <w:rFonts w:ascii="Times New Roman" w:hAnsi="Times New Roman" w:cs="Times New Roman"/>
        </w:rPr>
        <w:t>Précision également du</w:t>
      </w:r>
      <w:r w:rsidR="001D7E55" w:rsidRPr="001D7E55">
        <w:rPr>
          <w:rFonts w:ascii="Times New Roman" w:hAnsi="Times New Roman" w:cs="Times New Roman"/>
        </w:rPr>
        <w:t xml:space="preserve"> type de protection requise pour les éléments mobiles de transmission d’énergie.</w:t>
      </w:r>
    </w:p>
    <w:p w14:paraId="6CAFD771" w14:textId="34CF4D89" w:rsidR="001D7E55" w:rsidRPr="001D7E55" w:rsidRDefault="004A293B" w:rsidP="00A4269D">
      <w:pPr>
        <w:pStyle w:val="Paragraphedeliste"/>
        <w:numPr>
          <w:ilvl w:val="0"/>
          <w:numId w:val="1"/>
        </w:numPr>
        <w:contextualSpacing w:val="0"/>
        <w:rPr>
          <w:rFonts w:ascii="Times New Roman" w:hAnsi="Times New Roman" w:cs="Times New Roman"/>
        </w:rPr>
      </w:pPr>
      <w:r>
        <w:rPr>
          <w:rFonts w:ascii="Times New Roman" w:hAnsi="Times New Roman" w:cs="Times New Roman"/>
          <w:b/>
          <w:bCs/>
        </w:rPr>
        <w:t>Risques résiduels (art. 178)</w:t>
      </w:r>
      <w:r>
        <w:rPr>
          <w:rFonts w:ascii="Times New Roman" w:hAnsi="Times New Roman" w:cs="Times New Roman"/>
          <w:b/>
          <w:bCs/>
        </w:rPr>
        <w:br/>
      </w:r>
      <w:r w:rsidR="00B91658">
        <w:rPr>
          <w:rFonts w:ascii="Times New Roman" w:hAnsi="Times New Roman" w:cs="Times New Roman"/>
        </w:rPr>
        <w:t>O</w:t>
      </w:r>
      <w:r w:rsidR="001D7E55">
        <w:rPr>
          <w:rFonts w:ascii="Times New Roman" w:hAnsi="Times New Roman" w:cs="Times New Roman"/>
        </w:rPr>
        <w:t>bligation d’identifier les risques résiduels potentiels et les mesures de contrôle et de réduction appropriées, déterminées sur la base des recommandations contenues au manuel d’instruction du fabricant ou d’un ingénieur.</w:t>
      </w:r>
    </w:p>
    <w:p w14:paraId="4028D6D3" w14:textId="44209286" w:rsidR="004A293B" w:rsidRDefault="00EF6392" w:rsidP="0049386C">
      <w:pPr>
        <w:pStyle w:val="Paragraphedeliste"/>
        <w:numPr>
          <w:ilvl w:val="0"/>
          <w:numId w:val="1"/>
        </w:numPr>
        <w:contextualSpacing w:val="0"/>
        <w:rPr>
          <w:rFonts w:ascii="Times New Roman" w:hAnsi="Times New Roman" w:cs="Times New Roman"/>
        </w:rPr>
      </w:pPr>
      <w:r>
        <w:rPr>
          <w:rFonts w:ascii="Times New Roman" w:hAnsi="Times New Roman" w:cs="Times New Roman"/>
          <w:b/>
          <w:bCs/>
        </w:rPr>
        <w:t>Mesures de sécurité (art. 179)</w:t>
      </w:r>
      <w:r>
        <w:rPr>
          <w:rFonts w:ascii="Times New Roman" w:hAnsi="Times New Roman" w:cs="Times New Roman"/>
          <w:b/>
          <w:bCs/>
        </w:rPr>
        <w:br/>
      </w:r>
      <w:r w:rsidR="00B91658">
        <w:rPr>
          <w:rFonts w:ascii="Times New Roman" w:hAnsi="Times New Roman" w:cs="Times New Roman"/>
        </w:rPr>
        <w:t>Détermination d</w:t>
      </w:r>
      <w:r w:rsidR="001D7E55">
        <w:rPr>
          <w:rFonts w:ascii="Times New Roman" w:hAnsi="Times New Roman" w:cs="Times New Roman"/>
        </w:rPr>
        <w:t xml:space="preserve">es mesures de sécurité minimales </w:t>
      </w:r>
      <w:r w:rsidR="00B91658">
        <w:rPr>
          <w:rFonts w:ascii="Times New Roman" w:hAnsi="Times New Roman" w:cs="Times New Roman"/>
        </w:rPr>
        <w:t>à respecter</w:t>
      </w:r>
      <w:r w:rsidR="001D7E55">
        <w:rPr>
          <w:rFonts w:ascii="Times New Roman" w:hAnsi="Times New Roman" w:cs="Times New Roman"/>
        </w:rPr>
        <w:t xml:space="preserve"> dès lors qu’un contact avec des pièces en mouvement est possible</w:t>
      </w:r>
      <w:r w:rsidR="00925FCB">
        <w:rPr>
          <w:rFonts w:ascii="Times New Roman" w:hAnsi="Times New Roman" w:cs="Times New Roman"/>
        </w:rPr>
        <w:t xml:space="preserve"> (vêtements, bijoux et accessoires, barbe et cheveux)</w:t>
      </w:r>
      <w:r w:rsidR="001D7E55">
        <w:rPr>
          <w:rFonts w:ascii="Times New Roman" w:hAnsi="Times New Roman" w:cs="Times New Roman"/>
        </w:rPr>
        <w:t>.</w:t>
      </w:r>
    </w:p>
    <w:p w14:paraId="75AE3608" w14:textId="033454FD" w:rsidR="007B2FD2" w:rsidRDefault="0049386C" w:rsidP="0049386C">
      <w:pPr>
        <w:pStyle w:val="Paragraphedeliste"/>
        <w:numPr>
          <w:ilvl w:val="0"/>
          <w:numId w:val="1"/>
        </w:numPr>
        <w:contextualSpacing w:val="0"/>
        <w:rPr>
          <w:rFonts w:ascii="Times New Roman" w:hAnsi="Times New Roman" w:cs="Times New Roman"/>
        </w:rPr>
      </w:pPr>
      <w:r>
        <w:rPr>
          <w:rFonts w:ascii="Times New Roman" w:hAnsi="Times New Roman" w:cs="Times New Roman"/>
          <w:b/>
          <w:bCs/>
        </w:rPr>
        <w:t>Maintien en bon état (art.</w:t>
      </w:r>
      <w:r w:rsidR="00B91658">
        <w:rPr>
          <w:rFonts w:ascii="Times New Roman" w:hAnsi="Times New Roman" w:cs="Times New Roman"/>
          <w:b/>
          <w:bCs/>
        </w:rPr>
        <w:t xml:space="preserve"> </w:t>
      </w:r>
      <w:r>
        <w:rPr>
          <w:rFonts w:ascii="Times New Roman" w:hAnsi="Times New Roman" w:cs="Times New Roman"/>
          <w:b/>
          <w:bCs/>
        </w:rPr>
        <w:t>180)</w:t>
      </w:r>
      <w:r>
        <w:rPr>
          <w:rFonts w:ascii="Times New Roman" w:hAnsi="Times New Roman" w:cs="Times New Roman"/>
          <w:b/>
          <w:bCs/>
        </w:rPr>
        <w:br/>
      </w:r>
      <w:r w:rsidR="00B91658">
        <w:rPr>
          <w:rFonts w:ascii="Times New Roman" w:hAnsi="Times New Roman" w:cs="Times New Roman"/>
        </w:rPr>
        <w:t>O</w:t>
      </w:r>
      <w:r w:rsidR="00D24C7E">
        <w:rPr>
          <w:rFonts w:ascii="Times New Roman" w:hAnsi="Times New Roman" w:cs="Times New Roman"/>
        </w:rPr>
        <w:t>bligation du maintien en bon état de la machine et des moyens de protection</w:t>
      </w:r>
      <w:r w:rsidR="00B91658">
        <w:rPr>
          <w:rFonts w:ascii="Times New Roman" w:hAnsi="Times New Roman" w:cs="Times New Roman"/>
        </w:rPr>
        <w:t>,</w:t>
      </w:r>
      <w:r w:rsidR="00D24C7E">
        <w:rPr>
          <w:rFonts w:ascii="Times New Roman" w:hAnsi="Times New Roman" w:cs="Times New Roman"/>
        </w:rPr>
        <w:t xml:space="preserve"> en conformité </w:t>
      </w:r>
      <w:r w:rsidR="00B91658">
        <w:rPr>
          <w:rFonts w:ascii="Times New Roman" w:hAnsi="Times New Roman" w:cs="Times New Roman"/>
        </w:rPr>
        <w:t>avec le</w:t>
      </w:r>
      <w:r w:rsidR="00D24C7E">
        <w:rPr>
          <w:rFonts w:ascii="Times New Roman" w:hAnsi="Times New Roman" w:cs="Times New Roman"/>
        </w:rPr>
        <w:t xml:space="preserve"> manuel du fabricant ou </w:t>
      </w:r>
      <w:r w:rsidR="00B91658">
        <w:rPr>
          <w:rFonts w:ascii="Times New Roman" w:hAnsi="Times New Roman" w:cs="Times New Roman"/>
        </w:rPr>
        <w:t xml:space="preserve">les </w:t>
      </w:r>
      <w:r w:rsidR="00D24C7E">
        <w:rPr>
          <w:rFonts w:ascii="Times New Roman" w:hAnsi="Times New Roman" w:cs="Times New Roman"/>
        </w:rPr>
        <w:t xml:space="preserve">instructions d’un ingénieur. </w:t>
      </w:r>
    </w:p>
    <w:p w14:paraId="61D70CDE" w14:textId="13C12391" w:rsidR="00E02020" w:rsidRPr="00925FCB" w:rsidRDefault="007B2FD2" w:rsidP="00925FCB">
      <w:pPr>
        <w:pStyle w:val="Paragraphedeliste"/>
        <w:numPr>
          <w:ilvl w:val="0"/>
          <w:numId w:val="1"/>
        </w:numPr>
        <w:contextualSpacing w:val="0"/>
        <w:rPr>
          <w:rFonts w:ascii="Times New Roman" w:hAnsi="Times New Roman" w:cs="Times New Roman"/>
        </w:rPr>
      </w:pPr>
      <w:r>
        <w:rPr>
          <w:rFonts w:ascii="Times New Roman" w:hAnsi="Times New Roman" w:cs="Times New Roman"/>
          <w:b/>
          <w:bCs/>
        </w:rPr>
        <w:lastRenderedPageBreak/>
        <w:t xml:space="preserve">Attributs des moyens de protection </w:t>
      </w:r>
      <w:r w:rsidR="00E02020">
        <w:rPr>
          <w:rFonts w:ascii="Times New Roman" w:hAnsi="Times New Roman" w:cs="Times New Roman"/>
          <w:b/>
          <w:bCs/>
        </w:rPr>
        <w:t>(art.</w:t>
      </w:r>
      <w:r w:rsidR="00B91658">
        <w:rPr>
          <w:rFonts w:ascii="Times New Roman" w:hAnsi="Times New Roman" w:cs="Times New Roman"/>
          <w:b/>
          <w:bCs/>
        </w:rPr>
        <w:t xml:space="preserve"> </w:t>
      </w:r>
      <w:r w:rsidR="00E02020">
        <w:rPr>
          <w:rFonts w:ascii="Times New Roman" w:hAnsi="Times New Roman" w:cs="Times New Roman"/>
          <w:b/>
          <w:bCs/>
        </w:rPr>
        <w:t>181)</w:t>
      </w:r>
      <w:r>
        <w:rPr>
          <w:rFonts w:ascii="Times New Roman" w:hAnsi="Times New Roman" w:cs="Times New Roman"/>
          <w:b/>
          <w:bCs/>
        </w:rPr>
        <w:br/>
      </w:r>
      <w:r w:rsidR="00B20B56">
        <w:rPr>
          <w:rFonts w:ascii="Times New Roman" w:hAnsi="Times New Roman" w:cs="Times New Roman"/>
        </w:rPr>
        <w:t>A</w:t>
      </w:r>
      <w:r w:rsidR="00925FCB">
        <w:rPr>
          <w:rFonts w:ascii="Times New Roman" w:hAnsi="Times New Roman" w:cs="Times New Roman"/>
        </w:rPr>
        <w:t>ncien article 187 à l’égard des c</w:t>
      </w:r>
      <w:r w:rsidR="00E02020">
        <w:rPr>
          <w:rFonts w:ascii="Times New Roman" w:hAnsi="Times New Roman" w:cs="Times New Roman"/>
        </w:rPr>
        <w:t xml:space="preserve">onditions </w:t>
      </w:r>
      <w:r w:rsidR="00D117EA">
        <w:rPr>
          <w:rFonts w:ascii="Times New Roman" w:hAnsi="Times New Roman" w:cs="Times New Roman"/>
        </w:rPr>
        <w:t xml:space="preserve">à respecter lors de la conception ou de l’installation d’un </w:t>
      </w:r>
      <w:r w:rsidR="00E02020">
        <w:rPr>
          <w:rFonts w:ascii="Times New Roman" w:hAnsi="Times New Roman" w:cs="Times New Roman"/>
        </w:rPr>
        <w:t>protecteur ou d’un dispositif de protection</w:t>
      </w:r>
      <w:r w:rsidR="00B20B56">
        <w:rPr>
          <w:rFonts w:ascii="Times New Roman" w:hAnsi="Times New Roman" w:cs="Times New Roman"/>
        </w:rPr>
        <w:t xml:space="preserve">, lequel est </w:t>
      </w:r>
      <w:r w:rsidR="00925FCB" w:rsidRPr="004D2F99">
        <w:rPr>
          <w:rFonts w:ascii="Times New Roman" w:hAnsi="Times New Roman" w:cs="Times New Roman"/>
          <w:b/>
          <w:bCs/>
        </w:rPr>
        <w:t>bonifi</w:t>
      </w:r>
      <w:r w:rsidR="00B20B56" w:rsidRPr="004D2F99">
        <w:rPr>
          <w:rFonts w:ascii="Times New Roman" w:hAnsi="Times New Roman" w:cs="Times New Roman"/>
          <w:b/>
          <w:bCs/>
        </w:rPr>
        <w:t>é</w:t>
      </w:r>
      <w:r w:rsidR="00925FCB">
        <w:rPr>
          <w:rFonts w:ascii="Times New Roman" w:hAnsi="Times New Roman" w:cs="Times New Roman"/>
        </w:rPr>
        <w:t xml:space="preserve"> avec</w:t>
      </w:r>
      <w:r w:rsidR="00B07B41">
        <w:rPr>
          <w:rFonts w:ascii="Times New Roman" w:hAnsi="Times New Roman" w:cs="Times New Roman"/>
        </w:rPr>
        <w:t xml:space="preserve"> des</w:t>
      </w:r>
      <w:r w:rsidR="00925FCB">
        <w:rPr>
          <w:rFonts w:ascii="Times New Roman" w:hAnsi="Times New Roman" w:cs="Times New Roman"/>
        </w:rPr>
        <w:t xml:space="preserve"> critères de </w:t>
      </w:r>
      <w:r w:rsidR="001023A9">
        <w:rPr>
          <w:rFonts w:ascii="Times New Roman" w:hAnsi="Times New Roman" w:cs="Times New Roman"/>
        </w:rPr>
        <w:t>r</w:t>
      </w:r>
      <w:r w:rsidR="00925FCB">
        <w:rPr>
          <w:rFonts w:ascii="Times New Roman" w:hAnsi="Times New Roman" w:cs="Times New Roman"/>
        </w:rPr>
        <w:t>obustesse, d’efficacité et de distance sécuritaire de la zone dangereuse.</w:t>
      </w:r>
    </w:p>
    <w:p w14:paraId="13CAD0FE" w14:textId="18F10F7D" w:rsidR="00925FCB" w:rsidRDefault="00E02020" w:rsidP="00925FCB">
      <w:pPr>
        <w:pStyle w:val="Paragraphedeliste"/>
        <w:numPr>
          <w:ilvl w:val="0"/>
          <w:numId w:val="1"/>
        </w:numPr>
        <w:contextualSpacing w:val="0"/>
        <w:rPr>
          <w:rFonts w:ascii="Times New Roman" w:hAnsi="Times New Roman" w:cs="Times New Roman"/>
        </w:rPr>
      </w:pPr>
      <w:r w:rsidRPr="005B6885">
        <w:rPr>
          <w:rFonts w:ascii="Times New Roman" w:hAnsi="Times New Roman" w:cs="Times New Roman"/>
          <w:b/>
          <w:bCs/>
        </w:rPr>
        <w:t>Protecteur commandant la mise en marche (art.182)</w:t>
      </w:r>
      <w:r w:rsidR="00700F04" w:rsidRPr="005B6885">
        <w:rPr>
          <w:rFonts w:ascii="Times New Roman" w:hAnsi="Times New Roman" w:cs="Times New Roman"/>
          <w:b/>
          <w:bCs/>
        </w:rPr>
        <w:br/>
      </w:r>
      <w:r w:rsidR="00B07B41">
        <w:rPr>
          <w:rFonts w:ascii="Times New Roman" w:hAnsi="Times New Roman" w:cs="Times New Roman"/>
        </w:rPr>
        <w:t>L</w:t>
      </w:r>
      <w:r w:rsidR="00925FCB">
        <w:rPr>
          <w:rFonts w:ascii="Times New Roman" w:hAnsi="Times New Roman" w:cs="Times New Roman"/>
        </w:rPr>
        <w:t>iste des c</w:t>
      </w:r>
      <w:r w:rsidR="005B6885" w:rsidRPr="005B6885">
        <w:rPr>
          <w:rFonts w:ascii="Times New Roman" w:hAnsi="Times New Roman" w:cs="Times New Roman"/>
        </w:rPr>
        <w:t xml:space="preserve">onditions d’utilisation </w:t>
      </w:r>
      <w:r w:rsidR="00925FCB">
        <w:rPr>
          <w:rFonts w:ascii="Times New Roman" w:hAnsi="Times New Roman" w:cs="Times New Roman"/>
        </w:rPr>
        <w:t xml:space="preserve">à respecter pour l’utilisation </w:t>
      </w:r>
      <w:r w:rsidR="005B6885" w:rsidRPr="005B6885">
        <w:rPr>
          <w:rFonts w:ascii="Times New Roman" w:hAnsi="Times New Roman" w:cs="Times New Roman"/>
        </w:rPr>
        <w:t>d’un protecteur commandant la mise en marche</w:t>
      </w:r>
      <w:r w:rsidR="00925FCB">
        <w:rPr>
          <w:rFonts w:ascii="Times New Roman" w:hAnsi="Times New Roman" w:cs="Times New Roman"/>
        </w:rPr>
        <w:t xml:space="preserve"> (voir aussi définition à l’article 172).</w:t>
      </w:r>
    </w:p>
    <w:p w14:paraId="043AE0B8" w14:textId="18DA0370" w:rsidR="007D57FC" w:rsidRPr="00925FCB" w:rsidRDefault="00E02020" w:rsidP="007D57FC">
      <w:pPr>
        <w:pStyle w:val="Paragraphedeliste"/>
        <w:numPr>
          <w:ilvl w:val="0"/>
          <w:numId w:val="1"/>
        </w:numPr>
        <w:contextualSpacing w:val="0"/>
        <w:rPr>
          <w:rFonts w:ascii="Times New Roman" w:hAnsi="Times New Roman" w:cs="Times New Roman"/>
        </w:rPr>
      </w:pPr>
      <w:r w:rsidRPr="005B6885">
        <w:rPr>
          <w:rFonts w:ascii="Times New Roman" w:hAnsi="Times New Roman" w:cs="Times New Roman"/>
          <w:b/>
          <w:bCs/>
        </w:rPr>
        <w:t>Équipement de protection électrosensible (art.183)</w:t>
      </w:r>
      <w:r w:rsidR="007D57FC" w:rsidRPr="005B6885">
        <w:rPr>
          <w:rFonts w:ascii="Times New Roman" w:hAnsi="Times New Roman" w:cs="Times New Roman"/>
          <w:b/>
          <w:bCs/>
        </w:rPr>
        <w:br/>
      </w:r>
      <w:r w:rsidR="005B6885" w:rsidRPr="005B6885">
        <w:rPr>
          <w:rFonts w:ascii="Times New Roman" w:hAnsi="Times New Roman" w:cs="Times New Roman"/>
        </w:rPr>
        <w:t>Conditions d’utilisation d’</w:t>
      </w:r>
      <w:r w:rsidR="007D57FC" w:rsidRPr="005B6885">
        <w:rPr>
          <w:rFonts w:ascii="Times New Roman" w:hAnsi="Times New Roman" w:cs="Times New Roman"/>
        </w:rPr>
        <w:t>un équipement de protection électrosensible</w:t>
      </w:r>
      <w:r w:rsidR="00925FCB">
        <w:rPr>
          <w:rFonts w:ascii="Times New Roman" w:hAnsi="Times New Roman" w:cs="Times New Roman"/>
        </w:rPr>
        <w:t xml:space="preserve"> </w:t>
      </w:r>
      <w:r w:rsidR="00B07B41">
        <w:rPr>
          <w:rFonts w:ascii="Times New Roman" w:hAnsi="Times New Roman" w:cs="Times New Roman"/>
        </w:rPr>
        <w:t xml:space="preserve">comme moyen de protection lorsque intégré à la partie opérative d’une machine et associé à son système de commande </w:t>
      </w:r>
      <w:r w:rsidR="005B6885" w:rsidRPr="00925FCB">
        <w:rPr>
          <w:rFonts w:ascii="Times New Roman" w:hAnsi="Times New Roman" w:cs="Times New Roman"/>
        </w:rPr>
        <w:t>(voir aussi sa définition à l’article 172)</w:t>
      </w:r>
      <w:r w:rsidR="007D57FC" w:rsidRPr="00925FCB">
        <w:rPr>
          <w:rFonts w:ascii="Times New Roman" w:hAnsi="Times New Roman" w:cs="Times New Roman"/>
        </w:rPr>
        <w:t xml:space="preserve">. </w:t>
      </w:r>
    </w:p>
    <w:p w14:paraId="70389C51" w14:textId="54BCE4C8" w:rsidR="00E02020" w:rsidRPr="00925FCB" w:rsidRDefault="00E02020" w:rsidP="00E02020">
      <w:pPr>
        <w:pStyle w:val="Paragraphedeliste"/>
        <w:numPr>
          <w:ilvl w:val="0"/>
          <w:numId w:val="1"/>
        </w:numPr>
        <w:contextualSpacing w:val="0"/>
        <w:rPr>
          <w:rFonts w:ascii="Times New Roman" w:hAnsi="Times New Roman" w:cs="Times New Roman"/>
        </w:rPr>
      </w:pPr>
      <w:r w:rsidRPr="00925FCB">
        <w:rPr>
          <w:rFonts w:ascii="Times New Roman" w:hAnsi="Times New Roman" w:cs="Times New Roman"/>
          <w:b/>
          <w:bCs/>
        </w:rPr>
        <w:t xml:space="preserve">Dispositif de protection optoélectrique actif utilisé pour la commande de cycle </w:t>
      </w:r>
      <w:r w:rsidR="00700F04" w:rsidRPr="00925FCB">
        <w:rPr>
          <w:rFonts w:ascii="Times New Roman" w:hAnsi="Times New Roman" w:cs="Times New Roman"/>
          <w:b/>
          <w:bCs/>
        </w:rPr>
        <w:t>(art.</w:t>
      </w:r>
      <w:r w:rsidRPr="00925FCB">
        <w:rPr>
          <w:rFonts w:ascii="Times New Roman" w:hAnsi="Times New Roman" w:cs="Times New Roman"/>
          <w:b/>
          <w:bCs/>
        </w:rPr>
        <w:t>184)</w:t>
      </w:r>
      <w:r w:rsidR="00700F04" w:rsidRPr="00925FCB">
        <w:rPr>
          <w:rFonts w:ascii="Times New Roman" w:hAnsi="Times New Roman" w:cs="Times New Roman"/>
          <w:b/>
          <w:bCs/>
        </w:rPr>
        <w:br/>
      </w:r>
      <w:r w:rsidR="00B07B41">
        <w:rPr>
          <w:rFonts w:ascii="Times New Roman" w:hAnsi="Times New Roman" w:cs="Times New Roman"/>
        </w:rPr>
        <w:t>Conditions permettant exceptionnellement l’utilisation d’un d</w:t>
      </w:r>
      <w:r w:rsidR="00700F04" w:rsidRPr="00925FCB">
        <w:rPr>
          <w:rFonts w:ascii="Times New Roman" w:hAnsi="Times New Roman" w:cs="Times New Roman"/>
        </w:rPr>
        <w:t>ispositif de protection optoélectronique</w:t>
      </w:r>
      <w:r w:rsidR="00B07B41">
        <w:rPr>
          <w:rFonts w:ascii="Times New Roman" w:hAnsi="Times New Roman" w:cs="Times New Roman"/>
        </w:rPr>
        <w:t xml:space="preserve"> pour la commande de cycle</w:t>
      </w:r>
      <w:r w:rsidR="00700F04" w:rsidRPr="00925FCB">
        <w:rPr>
          <w:rFonts w:ascii="Times New Roman" w:hAnsi="Times New Roman" w:cs="Times New Roman"/>
        </w:rPr>
        <w:t>.</w:t>
      </w:r>
    </w:p>
    <w:p w14:paraId="61789051" w14:textId="552B3CD3" w:rsidR="00E02020" w:rsidRPr="00DD1914" w:rsidRDefault="00E02020" w:rsidP="00E02020">
      <w:pPr>
        <w:pStyle w:val="Paragraphedeliste"/>
        <w:numPr>
          <w:ilvl w:val="0"/>
          <w:numId w:val="1"/>
        </w:numPr>
        <w:contextualSpacing w:val="0"/>
        <w:rPr>
          <w:rFonts w:ascii="Times New Roman" w:hAnsi="Times New Roman" w:cs="Times New Roman"/>
        </w:rPr>
      </w:pPr>
      <w:r w:rsidRPr="00DD1914">
        <w:rPr>
          <w:rFonts w:ascii="Times New Roman" w:hAnsi="Times New Roman" w:cs="Times New Roman"/>
          <w:b/>
          <w:bCs/>
        </w:rPr>
        <w:t>Dispositif de commande bimanuelle (art. 185)</w:t>
      </w:r>
      <w:r w:rsidR="007D57FC" w:rsidRPr="00DD1914">
        <w:rPr>
          <w:rFonts w:ascii="Times New Roman" w:hAnsi="Times New Roman" w:cs="Times New Roman"/>
          <w:b/>
          <w:bCs/>
        </w:rPr>
        <w:br/>
      </w:r>
      <w:r w:rsidR="00DD1914" w:rsidRPr="00DD1914">
        <w:rPr>
          <w:rFonts w:ascii="Times New Roman" w:hAnsi="Times New Roman" w:cs="Times New Roman"/>
        </w:rPr>
        <w:t>A</w:t>
      </w:r>
      <w:r w:rsidR="000F2430" w:rsidRPr="00DD1914">
        <w:rPr>
          <w:rFonts w:ascii="Times New Roman" w:hAnsi="Times New Roman" w:cs="Times New Roman"/>
        </w:rPr>
        <w:t>nciens article</w:t>
      </w:r>
      <w:r w:rsidR="00661E44">
        <w:rPr>
          <w:rFonts w:ascii="Times New Roman" w:hAnsi="Times New Roman" w:cs="Times New Roman"/>
        </w:rPr>
        <w:t>s</w:t>
      </w:r>
      <w:r w:rsidR="000F2430" w:rsidRPr="00DD1914">
        <w:rPr>
          <w:rFonts w:ascii="Times New Roman" w:hAnsi="Times New Roman" w:cs="Times New Roman"/>
        </w:rPr>
        <w:t xml:space="preserve"> 180 et 181</w:t>
      </w:r>
      <w:r w:rsidR="00661E44">
        <w:rPr>
          <w:rFonts w:ascii="Times New Roman" w:hAnsi="Times New Roman" w:cs="Times New Roman"/>
        </w:rPr>
        <w:t xml:space="preserve"> </w:t>
      </w:r>
      <w:r w:rsidR="00661E44" w:rsidRPr="004D2F99">
        <w:rPr>
          <w:rFonts w:ascii="Times New Roman" w:hAnsi="Times New Roman" w:cs="Times New Roman"/>
          <w:b/>
          <w:bCs/>
        </w:rPr>
        <w:t>bonifiés</w:t>
      </w:r>
      <w:r w:rsidR="00661E44">
        <w:rPr>
          <w:rFonts w:ascii="Times New Roman" w:hAnsi="Times New Roman" w:cs="Times New Roman"/>
        </w:rPr>
        <w:t xml:space="preserve"> avec les conditions minimales de conception et d’installation permettant d’utiliser ce type de dispositif.</w:t>
      </w:r>
    </w:p>
    <w:p w14:paraId="46C95853" w14:textId="77964232" w:rsidR="00AC0537" w:rsidRPr="00DD1914" w:rsidRDefault="00E02020" w:rsidP="00AC0537">
      <w:pPr>
        <w:pStyle w:val="Paragraphedeliste"/>
        <w:numPr>
          <w:ilvl w:val="0"/>
          <w:numId w:val="1"/>
        </w:numPr>
        <w:contextualSpacing w:val="0"/>
        <w:rPr>
          <w:rFonts w:ascii="Times New Roman" w:hAnsi="Times New Roman" w:cs="Times New Roman"/>
        </w:rPr>
      </w:pPr>
      <w:r w:rsidRPr="00DD1914">
        <w:rPr>
          <w:rFonts w:ascii="Times New Roman" w:hAnsi="Times New Roman" w:cs="Times New Roman"/>
          <w:b/>
          <w:bCs/>
        </w:rPr>
        <w:t>Retrait ou remplacement d’un moyen de protection (art. 186)</w:t>
      </w:r>
      <w:r w:rsidR="007D57FC" w:rsidRPr="00DD1914">
        <w:rPr>
          <w:rFonts w:ascii="Times New Roman" w:hAnsi="Times New Roman" w:cs="Times New Roman"/>
          <w:b/>
          <w:bCs/>
        </w:rPr>
        <w:br/>
      </w:r>
      <w:r w:rsidR="00DD1914" w:rsidRPr="00DD1914">
        <w:rPr>
          <w:rFonts w:ascii="Times New Roman" w:hAnsi="Times New Roman" w:cs="Times New Roman"/>
        </w:rPr>
        <w:t>An</w:t>
      </w:r>
      <w:r w:rsidR="000F2430" w:rsidRPr="00DD1914">
        <w:rPr>
          <w:rFonts w:ascii="Times New Roman" w:hAnsi="Times New Roman" w:cs="Times New Roman"/>
        </w:rPr>
        <w:t>cien article 18</w:t>
      </w:r>
      <w:r w:rsidR="00DD1914">
        <w:rPr>
          <w:rFonts w:ascii="Times New Roman" w:hAnsi="Times New Roman" w:cs="Times New Roman"/>
        </w:rPr>
        <w:t>8</w:t>
      </w:r>
      <w:r w:rsidR="00661E44">
        <w:rPr>
          <w:rFonts w:ascii="Times New Roman" w:hAnsi="Times New Roman" w:cs="Times New Roman"/>
        </w:rPr>
        <w:t xml:space="preserve"> et </w:t>
      </w:r>
      <w:r w:rsidR="00661E44" w:rsidRPr="004D2F99">
        <w:rPr>
          <w:rFonts w:ascii="Times New Roman" w:hAnsi="Times New Roman" w:cs="Times New Roman"/>
          <w:b/>
          <w:bCs/>
        </w:rPr>
        <w:t>ajout</w:t>
      </w:r>
      <w:r w:rsidR="00EA540E">
        <w:rPr>
          <w:rFonts w:ascii="Times New Roman" w:hAnsi="Times New Roman" w:cs="Times New Roman"/>
        </w:rPr>
        <w:t xml:space="preserve"> de</w:t>
      </w:r>
      <w:r w:rsidR="00661E44">
        <w:rPr>
          <w:rFonts w:ascii="Times New Roman" w:hAnsi="Times New Roman" w:cs="Times New Roman"/>
        </w:rPr>
        <w:t xml:space="preserve"> la précision de l’impossibilité de retirer le moyen de protection</w:t>
      </w:r>
      <w:r w:rsidR="00EA540E">
        <w:rPr>
          <w:rFonts w:ascii="Times New Roman" w:hAnsi="Times New Roman" w:cs="Times New Roman"/>
        </w:rPr>
        <w:t xml:space="preserve"> si cela nuit à la sécurité.</w:t>
      </w:r>
    </w:p>
    <w:p w14:paraId="70B0CD8C" w14:textId="5729D475" w:rsidR="00E02020" w:rsidRPr="00DD1914" w:rsidRDefault="00E02020" w:rsidP="00E02020">
      <w:pPr>
        <w:pStyle w:val="Paragraphedeliste"/>
        <w:numPr>
          <w:ilvl w:val="0"/>
          <w:numId w:val="1"/>
        </w:numPr>
        <w:contextualSpacing w:val="0"/>
        <w:rPr>
          <w:rFonts w:ascii="Times New Roman" w:hAnsi="Times New Roman" w:cs="Times New Roman"/>
        </w:rPr>
      </w:pPr>
      <w:r w:rsidRPr="00DD1914">
        <w:rPr>
          <w:rFonts w:ascii="Times New Roman" w:hAnsi="Times New Roman" w:cs="Times New Roman"/>
          <w:b/>
          <w:bCs/>
        </w:rPr>
        <w:t>Dispositifs de commande (art. 187)</w:t>
      </w:r>
      <w:r w:rsidR="00AC0537" w:rsidRPr="00DD1914">
        <w:rPr>
          <w:rFonts w:ascii="Times New Roman" w:hAnsi="Times New Roman" w:cs="Times New Roman"/>
        </w:rPr>
        <w:br/>
      </w:r>
      <w:r w:rsidR="00DD1914" w:rsidRPr="00DD1914">
        <w:rPr>
          <w:rFonts w:ascii="Times New Roman" w:hAnsi="Times New Roman" w:cs="Times New Roman"/>
        </w:rPr>
        <w:t>A</w:t>
      </w:r>
      <w:r w:rsidR="000F2430" w:rsidRPr="00DD1914">
        <w:rPr>
          <w:rFonts w:ascii="Times New Roman" w:hAnsi="Times New Roman" w:cs="Times New Roman"/>
        </w:rPr>
        <w:t>ncien article 189</w:t>
      </w:r>
      <w:r w:rsidR="00745BA6">
        <w:rPr>
          <w:rFonts w:ascii="Times New Roman" w:hAnsi="Times New Roman" w:cs="Times New Roman"/>
        </w:rPr>
        <w:t>, demeure inchangé</w:t>
      </w:r>
      <w:r w:rsidR="00925FCB">
        <w:rPr>
          <w:rFonts w:ascii="Times New Roman" w:hAnsi="Times New Roman" w:cs="Times New Roman"/>
        </w:rPr>
        <w:t>.</w:t>
      </w:r>
    </w:p>
    <w:p w14:paraId="7DB57FEF" w14:textId="3FB50EC2" w:rsidR="008F6A88" w:rsidRPr="00745BA6" w:rsidRDefault="008F6A88" w:rsidP="00745BA6">
      <w:pPr>
        <w:pStyle w:val="Paragraphedeliste"/>
        <w:numPr>
          <w:ilvl w:val="0"/>
          <w:numId w:val="1"/>
        </w:numPr>
        <w:contextualSpacing w:val="0"/>
        <w:rPr>
          <w:rFonts w:ascii="Times New Roman" w:hAnsi="Times New Roman" w:cs="Times New Roman"/>
        </w:rPr>
      </w:pPr>
      <w:r w:rsidRPr="000F2430">
        <w:rPr>
          <w:rFonts w:ascii="Times New Roman" w:hAnsi="Times New Roman" w:cs="Times New Roman"/>
          <w:b/>
          <w:bCs/>
        </w:rPr>
        <w:t>Mode de commande spécifique (art. 188)</w:t>
      </w:r>
      <w:r w:rsidRPr="000F2430">
        <w:rPr>
          <w:rFonts w:ascii="Times New Roman" w:hAnsi="Times New Roman" w:cs="Times New Roman"/>
        </w:rPr>
        <w:t xml:space="preserve"> </w:t>
      </w:r>
      <w:r w:rsidR="00AC0537" w:rsidRPr="000F2430">
        <w:rPr>
          <w:rFonts w:ascii="Times New Roman" w:hAnsi="Times New Roman" w:cs="Times New Roman"/>
        </w:rPr>
        <w:br/>
      </w:r>
      <w:r w:rsidR="000F2430" w:rsidRPr="000F2430">
        <w:rPr>
          <w:rFonts w:ascii="Times New Roman" w:hAnsi="Times New Roman" w:cs="Times New Roman"/>
        </w:rPr>
        <w:t xml:space="preserve">Remplace et </w:t>
      </w:r>
      <w:r w:rsidR="000F2430" w:rsidRPr="004D2F99">
        <w:rPr>
          <w:rFonts w:ascii="Times New Roman" w:hAnsi="Times New Roman" w:cs="Times New Roman"/>
        </w:rPr>
        <w:t>bonifie</w:t>
      </w:r>
      <w:r w:rsidR="000F2430" w:rsidRPr="000F2430">
        <w:rPr>
          <w:rFonts w:ascii="Times New Roman" w:hAnsi="Times New Roman" w:cs="Times New Roman"/>
        </w:rPr>
        <w:t xml:space="preserve"> l’ancien article 189.1, notamment </w:t>
      </w:r>
      <w:r w:rsidR="00745BA6">
        <w:rPr>
          <w:rFonts w:ascii="Times New Roman" w:hAnsi="Times New Roman" w:cs="Times New Roman"/>
        </w:rPr>
        <w:t>par l’</w:t>
      </w:r>
      <w:r w:rsidR="00745BA6" w:rsidRPr="004D2F99">
        <w:rPr>
          <w:rFonts w:ascii="Times New Roman" w:hAnsi="Times New Roman" w:cs="Times New Roman"/>
          <w:b/>
          <w:bCs/>
        </w:rPr>
        <w:t>ajout</w:t>
      </w:r>
      <w:r w:rsidR="00745BA6">
        <w:rPr>
          <w:rFonts w:ascii="Times New Roman" w:hAnsi="Times New Roman" w:cs="Times New Roman"/>
        </w:rPr>
        <w:t xml:space="preserve"> d’une précision à l’effet </w:t>
      </w:r>
      <w:r w:rsidR="000F2430" w:rsidRPr="00745BA6">
        <w:rPr>
          <w:rFonts w:ascii="Times New Roman" w:hAnsi="Times New Roman" w:cs="Times New Roman"/>
        </w:rPr>
        <w:t>qu</w:t>
      </w:r>
      <w:r w:rsidR="001327A4" w:rsidRPr="00745BA6">
        <w:rPr>
          <w:rFonts w:ascii="Times New Roman" w:hAnsi="Times New Roman" w:cs="Times New Roman"/>
        </w:rPr>
        <w:t>’un mode de commande doit empêcher le déclenchement d’une machine lors d’une action volontaire ou involontaire sur les capteurs de la machine.</w:t>
      </w:r>
    </w:p>
    <w:p w14:paraId="7CB39A56" w14:textId="54280B96" w:rsidR="00AC0537" w:rsidRPr="001023A9" w:rsidRDefault="008F6A88" w:rsidP="00AC0537">
      <w:pPr>
        <w:pStyle w:val="Paragraphedeliste"/>
        <w:numPr>
          <w:ilvl w:val="0"/>
          <w:numId w:val="1"/>
        </w:numPr>
        <w:contextualSpacing w:val="0"/>
        <w:rPr>
          <w:rFonts w:ascii="Times New Roman" w:hAnsi="Times New Roman" w:cs="Times New Roman"/>
        </w:rPr>
      </w:pPr>
      <w:r w:rsidRPr="001023A9">
        <w:rPr>
          <w:rFonts w:ascii="Times New Roman" w:hAnsi="Times New Roman" w:cs="Times New Roman"/>
          <w:b/>
          <w:bCs/>
        </w:rPr>
        <w:t>Sélection des modes de commande et de fonctionnement (art. 189)</w:t>
      </w:r>
      <w:r w:rsidR="00AC0537" w:rsidRPr="001023A9">
        <w:rPr>
          <w:rFonts w:ascii="Times New Roman" w:hAnsi="Times New Roman" w:cs="Times New Roman"/>
        </w:rPr>
        <w:br/>
      </w:r>
      <w:r w:rsidR="00745BA6">
        <w:rPr>
          <w:rFonts w:ascii="Times New Roman" w:hAnsi="Times New Roman" w:cs="Times New Roman"/>
        </w:rPr>
        <w:t xml:space="preserve">Obligation d’utilisation d’un sélecteur de mode verrouillable dans chaque position ou d’un autre moyen de sélection pour </w:t>
      </w:r>
      <w:r w:rsidR="00AC0537" w:rsidRPr="001023A9">
        <w:rPr>
          <w:rFonts w:ascii="Times New Roman" w:hAnsi="Times New Roman" w:cs="Times New Roman"/>
        </w:rPr>
        <w:t xml:space="preserve">les machines </w:t>
      </w:r>
      <w:r w:rsidR="00745BA6">
        <w:rPr>
          <w:rFonts w:ascii="Times New Roman" w:hAnsi="Times New Roman" w:cs="Times New Roman"/>
        </w:rPr>
        <w:t xml:space="preserve">pouvant être utilisées selon </w:t>
      </w:r>
      <w:r w:rsidR="00AC0537" w:rsidRPr="001023A9">
        <w:rPr>
          <w:rFonts w:ascii="Times New Roman" w:hAnsi="Times New Roman" w:cs="Times New Roman"/>
        </w:rPr>
        <w:t>plusieurs modes de commande ou de fonctionnement</w:t>
      </w:r>
      <w:r w:rsidR="00745BA6">
        <w:rPr>
          <w:rFonts w:ascii="Times New Roman" w:hAnsi="Times New Roman" w:cs="Times New Roman"/>
        </w:rPr>
        <w:t>.</w:t>
      </w:r>
    </w:p>
    <w:p w14:paraId="257A9B6F" w14:textId="24F13F6E" w:rsidR="00830FCD" w:rsidRPr="001023A9" w:rsidRDefault="008F6A88" w:rsidP="004D2F99">
      <w:pPr>
        <w:pStyle w:val="Paragraphedeliste"/>
        <w:numPr>
          <w:ilvl w:val="0"/>
          <w:numId w:val="1"/>
        </w:numPr>
        <w:spacing w:after="0"/>
        <w:contextualSpacing w:val="0"/>
        <w:rPr>
          <w:rFonts w:ascii="Times New Roman" w:hAnsi="Times New Roman" w:cs="Times New Roman"/>
        </w:rPr>
      </w:pPr>
      <w:r w:rsidRPr="001023A9">
        <w:rPr>
          <w:rFonts w:ascii="Times New Roman" w:hAnsi="Times New Roman" w:cs="Times New Roman"/>
          <w:b/>
          <w:bCs/>
        </w:rPr>
        <w:t>Partie du système de commande relative à la sécurité (art. 190)</w:t>
      </w:r>
      <w:r w:rsidR="003729F5" w:rsidRPr="001023A9">
        <w:rPr>
          <w:rFonts w:ascii="Times New Roman" w:hAnsi="Times New Roman" w:cs="Times New Roman"/>
        </w:rPr>
        <w:br/>
      </w:r>
      <w:r w:rsidR="00E421FF">
        <w:rPr>
          <w:rFonts w:ascii="Times New Roman" w:hAnsi="Times New Roman" w:cs="Times New Roman"/>
        </w:rPr>
        <w:t>No</w:t>
      </w:r>
      <w:r w:rsidR="006F7892" w:rsidRPr="001023A9">
        <w:rPr>
          <w:rFonts w:ascii="Times New Roman" w:hAnsi="Times New Roman" w:cs="Times New Roman"/>
        </w:rPr>
        <w:t xml:space="preserve">rmes et conditions à respecter pour, notamment, l’installation de la partie du système de commande relative </w:t>
      </w:r>
      <w:r w:rsidR="001023A9" w:rsidRPr="001023A9">
        <w:rPr>
          <w:rFonts w:ascii="Times New Roman" w:hAnsi="Times New Roman" w:cs="Times New Roman"/>
        </w:rPr>
        <w:t>à</w:t>
      </w:r>
      <w:r w:rsidR="006F7892" w:rsidRPr="001023A9">
        <w:rPr>
          <w:rFonts w:ascii="Times New Roman" w:hAnsi="Times New Roman" w:cs="Times New Roman"/>
        </w:rPr>
        <w:t xml:space="preserve"> la sécurité. </w:t>
      </w:r>
    </w:p>
    <w:p w14:paraId="07E358FE" w14:textId="77777777" w:rsidR="00532590" w:rsidRDefault="00532590" w:rsidP="00830FCD">
      <w:pPr>
        <w:rPr>
          <w:rFonts w:ascii="Times New Roman" w:hAnsi="Times New Roman" w:cs="Times New Roman"/>
          <w:b/>
          <w:bCs/>
          <w:i/>
          <w:iCs/>
        </w:rPr>
      </w:pPr>
    </w:p>
    <w:p w14:paraId="23436CC2" w14:textId="64756CFF" w:rsidR="00830FCD" w:rsidRPr="00DD112F" w:rsidRDefault="00830FCD" w:rsidP="00830FCD">
      <w:pPr>
        <w:rPr>
          <w:rFonts w:ascii="Times New Roman" w:hAnsi="Times New Roman" w:cs="Times New Roman"/>
          <w:b/>
          <w:bCs/>
          <w:i/>
          <w:iCs/>
        </w:rPr>
      </w:pPr>
      <w:r w:rsidRPr="00DD112F">
        <w:rPr>
          <w:rFonts w:ascii="Times New Roman" w:hAnsi="Times New Roman" w:cs="Times New Roman"/>
          <w:b/>
          <w:bCs/>
          <w:i/>
          <w:iCs/>
        </w:rPr>
        <w:t>Articles 191 à 194 : ces articles sont identiques aux articles 190 à 193 de l’ancienne version</w:t>
      </w:r>
      <w:r w:rsidR="001023A9">
        <w:rPr>
          <w:rFonts w:ascii="Times New Roman" w:hAnsi="Times New Roman" w:cs="Times New Roman"/>
          <w:b/>
          <w:bCs/>
          <w:i/>
          <w:iCs/>
        </w:rPr>
        <w:t xml:space="preserve"> du RSST</w:t>
      </w:r>
      <w:r w:rsidRPr="00DD112F">
        <w:rPr>
          <w:rFonts w:ascii="Times New Roman" w:hAnsi="Times New Roman" w:cs="Times New Roman"/>
          <w:b/>
          <w:bCs/>
          <w:i/>
          <w:iCs/>
        </w:rPr>
        <w:t>.</w:t>
      </w:r>
    </w:p>
    <w:p w14:paraId="37FCE18B" w14:textId="76D1D558" w:rsidR="002145B1" w:rsidRPr="00DD112F" w:rsidRDefault="002145B1" w:rsidP="002145B1">
      <w:pPr>
        <w:rPr>
          <w:rFonts w:ascii="Times New Roman" w:hAnsi="Times New Roman" w:cs="Times New Roman"/>
          <w:b/>
          <w:bCs/>
          <w:i/>
          <w:iCs/>
        </w:rPr>
      </w:pPr>
      <w:r w:rsidRPr="00DD112F">
        <w:rPr>
          <w:rFonts w:ascii="Times New Roman" w:hAnsi="Times New Roman" w:cs="Times New Roman"/>
          <w:b/>
          <w:bCs/>
          <w:i/>
          <w:iCs/>
        </w:rPr>
        <w:t>Articles 195 à 20</w:t>
      </w:r>
      <w:r w:rsidR="005F254E" w:rsidRPr="00DD112F">
        <w:rPr>
          <w:rFonts w:ascii="Times New Roman" w:hAnsi="Times New Roman" w:cs="Times New Roman"/>
          <w:b/>
          <w:bCs/>
          <w:i/>
          <w:iCs/>
        </w:rPr>
        <w:t>7</w:t>
      </w:r>
      <w:r w:rsidRPr="00DD112F">
        <w:rPr>
          <w:rFonts w:ascii="Times New Roman" w:hAnsi="Times New Roman" w:cs="Times New Roman"/>
          <w:b/>
          <w:bCs/>
          <w:i/>
          <w:iCs/>
        </w:rPr>
        <w:t xml:space="preserve"> –</w:t>
      </w:r>
      <w:r w:rsidR="00532590">
        <w:rPr>
          <w:rFonts w:ascii="Times New Roman" w:hAnsi="Times New Roman" w:cs="Times New Roman"/>
          <w:b/>
          <w:bCs/>
          <w:i/>
          <w:iCs/>
        </w:rPr>
        <w:t xml:space="preserve"> </w:t>
      </w:r>
      <w:r w:rsidRPr="00DD112F">
        <w:rPr>
          <w:rFonts w:ascii="Times New Roman" w:hAnsi="Times New Roman" w:cs="Times New Roman"/>
          <w:b/>
          <w:bCs/>
          <w:i/>
          <w:iCs/>
        </w:rPr>
        <w:t>le contenu</w:t>
      </w:r>
      <w:r w:rsidR="005F254E" w:rsidRPr="00DD112F">
        <w:rPr>
          <w:rFonts w:ascii="Times New Roman" w:hAnsi="Times New Roman" w:cs="Times New Roman"/>
          <w:b/>
          <w:bCs/>
          <w:i/>
          <w:iCs/>
        </w:rPr>
        <w:t xml:space="preserve"> de </w:t>
      </w:r>
      <w:r w:rsidR="00532590">
        <w:rPr>
          <w:rFonts w:ascii="Times New Roman" w:hAnsi="Times New Roman" w:cs="Times New Roman"/>
          <w:b/>
          <w:bCs/>
          <w:i/>
          <w:iCs/>
        </w:rPr>
        <w:t>la</w:t>
      </w:r>
      <w:r w:rsidR="005F254E" w:rsidRPr="00DD112F">
        <w:rPr>
          <w:rFonts w:ascii="Times New Roman" w:hAnsi="Times New Roman" w:cs="Times New Roman"/>
          <w:b/>
          <w:bCs/>
          <w:i/>
          <w:iCs/>
        </w:rPr>
        <w:t xml:space="preserve"> section</w:t>
      </w:r>
      <w:r w:rsidRPr="00DD112F">
        <w:rPr>
          <w:rFonts w:ascii="Times New Roman" w:hAnsi="Times New Roman" w:cs="Times New Roman"/>
          <w:b/>
          <w:bCs/>
          <w:i/>
          <w:iCs/>
        </w:rPr>
        <w:t xml:space="preserve"> </w:t>
      </w:r>
      <w:r w:rsidR="00532590">
        <w:rPr>
          <w:rFonts w:ascii="Times New Roman" w:hAnsi="Times New Roman" w:cs="Times New Roman"/>
          <w:b/>
          <w:bCs/>
          <w:i/>
          <w:iCs/>
        </w:rPr>
        <w:t>« </w:t>
      </w:r>
      <w:r w:rsidR="00532590" w:rsidRPr="00DD112F">
        <w:rPr>
          <w:rFonts w:ascii="Times New Roman" w:hAnsi="Times New Roman" w:cs="Times New Roman"/>
          <w:b/>
          <w:bCs/>
          <w:i/>
          <w:iCs/>
        </w:rPr>
        <w:t>Cadenassage et autre contrôle des énergies</w:t>
      </w:r>
      <w:r w:rsidR="00532590">
        <w:rPr>
          <w:rFonts w:ascii="Times New Roman" w:hAnsi="Times New Roman" w:cs="Times New Roman"/>
          <w:b/>
          <w:bCs/>
          <w:i/>
          <w:iCs/>
        </w:rPr>
        <w:t> » est identique à celui des articles</w:t>
      </w:r>
      <w:r w:rsidR="00320C71">
        <w:rPr>
          <w:rFonts w:ascii="Times New Roman" w:hAnsi="Times New Roman" w:cs="Times New Roman"/>
          <w:b/>
          <w:bCs/>
          <w:i/>
          <w:iCs/>
        </w:rPr>
        <w:t xml:space="preserve"> </w:t>
      </w:r>
      <w:r w:rsidR="00320C71" w:rsidRPr="00DD112F">
        <w:rPr>
          <w:rFonts w:ascii="Times New Roman" w:hAnsi="Times New Roman" w:cs="Times New Roman"/>
          <w:b/>
          <w:bCs/>
          <w:i/>
          <w:iCs/>
        </w:rPr>
        <w:t>188.1 à 188.13</w:t>
      </w:r>
      <w:r w:rsidR="00532590">
        <w:rPr>
          <w:rFonts w:ascii="Times New Roman" w:hAnsi="Times New Roman" w:cs="Times New Roman"/>
          <w:b/>
          <w:bCs/>
          <w:i/>
          <w:iCs/>
        </w:rPr>
        <w:t xml:space="preserve"> de l’ancienne version du RSST.</w:t>
      </w:r>
    </w:p>
    <w:p w14:paraId="36ACE4E2" w14:textId="190C1238" w:rsidR="0064207D" w:rsidRDefault="00217F3B">
      <w:r w:rsidRPr="00DD112F">
        <w:rPr>
          <w:rFonts w:ascii="Times New Roman" w:hAnsi="Times New Roman" w:cs="Times New Roman"/>
          <w:b/>
          <w:bCs/>
          <w:i/>
          <w:iCs/>
        </w:rPr>
        <w:t xml:space="preserve">Les articles 194 à 226 </w:t>
      </w:r>
      <w:r w:rsidR="00B92A3A" w:rsidRPr="00B92A3A">
        <w:rPr>
          <w:rFonts w:ascii="Times New Roman" w:hAnsi="Times New Roman" w:cs="Times New Roman"/>
          <w:b/>
          <w:bCs/>
          <w:i/>
          <w:iCs/>
          <w:u w:val="single"/>
        </w:rPr>
        <w:t>de l’ancienne version du RSST</w:t>
      </w:r>
      <w:r w:rsidR="00B92A3A">
        <w:rPr>
          <w:rFonts w:ascii="Times New Roman" w:hAnsi="Times New Roman" w:cs="Times New Roman"/>
          <w:b/>
          <w:bCs/>
          <w:i/>
          <w:iCs/>
        </w:rPr>
        <w:t xml:space="preserve"> </w:t>
      </w:r>
      <w:r w:rsidRPr="00DD112F">
        <w:rPr>
          <w:rFonts w:ascii="Times New Roman" w:hAnsi="Times New Roman" w:cs="Times New Roman"/>
          <w:b/>
          <w:bCs/>
          <w:i/>
          <w:iCs/>
        </w:rPr>
        <w:t>sont dorénavant inclus dans la section XXII – Outils à main et outils portatifs à moteur</w:t>
      </w:r>
      <w:r w:rsidR="001023A9">
        <w:rPr>
          <w:rFonts w:ascii="Times New Roman" w:hAnsi="Times New Roman" w:cs="Times New Roman"/>
          <w:b/>
          <w:bCs/>
          <w:i/>
          <w:iCs/>
        </w:rPr>
        <w:t>.</w:t>
      </w:r>
    </w:p>
    <w:sectPr w:rsidR="0064207D" w:rsidSect="00532590">
      <w:pgSz w:w="12240" w:h="15840"/>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9B7"/>
    <w:multiLevelType w:val="hybridMultilevel"/>
    <w:tmpl w:val="0512F914"/>
    <w:lvl w:ilvl="0" w:tplc="0C0C0001">
      <w:start w:val="1"/>
      <w:numFmt w:val="bullet"/>
      <w:lvlText w:val=""/>
      <w:lvlJc w:val="left"/>
      <w:pPr>
        <w:ind w:left="360" w:hanging="360"/>
      </w:pPr>
      <w:rPr>
        <w:rFonts w:ascii="Symbol" w:hAnsi="Symbol" w:hint="default"/>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0765043"/>
    <w:multiLevelType w:val="hybridMultilevel"/>
    <w:tmpl w:val="4AF859A0"/>
    <w:lvl w:ilvl="0" w:tplc="0C0C0017">
      <w:start w:val="2"/>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9A76970"/>
    <w:multiLevelType w:val="hybridMultilevel"/>
    <w:tmpl w:val="528075FC"/>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4A236FAB"/>
    <w:multiLevelType w:val="hybridMultilevel"/>
    <w:tmpl w:val="D3C492BE"/>
    <w:lvl w:ilvl="0" w:tplc="35660404">
      <w:start w:val="1"/>
      <w:numFmt w:val="decimal"/>
      <w:lvlText w:val="%1."/>
      <w:lvlJc w:val="left"/>
      <w:pPr>
        <w:ind w:left="360" w:hanging="360"/>
      </w:pPr>
      <w:rPr>
        <w:b/>
        <w:bCs/>
        <w:color w:val="auto"/>
      </w:r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5B7E339B"/>
    <w:multiLevelType w:val="hybridMultilevel"/>
    <w:tmpl w:val="B802A918"/>
    <w:lvl w:ilvl="0" w:tplc="729648FE">
      <w:start w:val="23"/>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75639116">
    <w:abstractNumId w:val="3"/>
  </w:num>
  <w:num w:numId="2" w16cid:durableId="1216239198">
    <w:abstractNumId w:val="2"/>
  </w:num>
  <w:num w:numId="3" w16cid:durableId="1874921446">
    <w:abstractNumId w:val="1"/>
  </w:num>
  <w:num w:numId="4" w16cid:durableId="1111129147">
    <w:abstractNumId w:val="4"/>
  </w:num>
  <w:num w:numId="5" w16cid:durableId="63560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8A"/>
    <w:rsid w:val="00051761"/>
    <w:rsid w:val="00097263"/>
    <w:rsid w:val="000A105E"/>
    <w:rsid w:val="000B326E"/>
    <w:rsid w:val="000F2430"/>
    <w:rsid w:val="001023A9"/>
    <w:rsid w:val="001327A4"/>
    <w:rsid w:val="001A50AE"/>
    <w:rsid w:val="001B6431"/>
    <w:rsid w:val="001D7E55"/>
    <w:rsid w:val="002145B1"/>
    <w:rsid w:val="00217F3B"/>
    <w:rsid w:val="002476C8"/>
    <w:rsid w:val="00295435"/>
    <w:rsid w:val="002A50DB"/>
    <w:rsid w:val="00320C71"/>
    <w:rsid w:val="003729F5"/>
    <w:rsid w:val="003E1019"/>
    <w:rsid w:val="00426A8D"/>
    <w:rsid w:val="0049386C"/>
    <w:rsid w:val="00495094"/>
    <w:rsid w:val="004A293B"/>
    <w:rsid w:val="004D2F99"/>
    <w:rsid w:val="004E2F67"/>
    <w:rsid w:val="00501462"/>
    <w:rsid w:val="0052623C"/>
    <w:rsid w:val="00532590"/>
    <w:rsid w:val="00541D70"/>
    <w:rsid w:val="005B6885"/>
    <w:rsid w:val="005C03BB"/>
    <w:rsid w:val="005F254E"/>
    <w:rsid w:val="0060755C"/>
    <w:rsid w:val="0064207D"/>
    <w:rsid w:val="00661E44"/>
    <w:rsid w:val="006B0C0A"/>
    <w:rsid w:val="006F7892"/>
    <w:rsid w:val="006F79FA"/>
    <w:rsid w:val="00700F04"/>
    <w:rsid w:val="00745BA6"/>
    <w:rsid w:val="00765B3E"/>
    <w:rsid w:val="007A0892"/>
    <w:rsid w:val="007A27E1"/>
    <w:rsid w:val="007B2FD2"/>
    <w:rsid w:val="007D57FC"/>
    <w:rsid w:val="007E5DC3"/>
    <w:rsid w:val="0080158A"/>
    <w:rsid w:val="00830FCD"/>
    <w:rsid w:val="00834460"/>
    <w:rsid w:val="008F6A88"/>
    <w:rsid w:val="00925FCB"/>
    <w:rsid w:val="00955E36"/>
    <w:rsid w:val="00A37ABD"/>
    <w:rsid w:val="00A4269D"/>
    <w:rsid w:val="00A72133"/>
    <w:rsid w:val="00AC0537"/>
    <w:rsid w:val="00B0692E"/>
    <w:rsid w:val="00B07B41"/>
    <w:rsid w:val="00B20B56"/>
    <w:rsid w:val="00B32B19"/>
    <w:rsid w:val="00B91658"/>
    <w:rsid w:val="00B92A3A"/>
    <w:rsid w:val="00C43AA2"/>
    <w:rsid w:val="00C579A3"/>
    <w:rsid w:val="00C8371D"/>
    <w:rsid w:val="00CA0998"/>
    <w:rsid w:val="00D117EA"/>
    <w:rsid w:val="00D24C7E"/>
    <w:rsid w:val="00D84D3D"/>
    <w:rsid w:val="00DA1F50"/>
    <w:rsid w:val="00DD112F"/>
    <w:rsid w:val="00DD1914"/>
    <w:rsid w:val="00DF2A5D"/>
    <w:rsid w:val="00E02020"/>
    <w:rsid w:val="00E421FF"/>
    <w:rsid w:val="00E8443D"/>
    <w:rsid w:val="00EA540E"/>
    <w:rsid w:val="00EF63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EC9E"/>
  <w15:chartTrackingRefBased/>
  <w15:docId w15:val="{DEDB1360-988D-4059-915E-673BA0D2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58A"/>
    <w:pPr>
      <w:ind w:left="720"/>
      <w:contextualSpacing/>
    </w:pPr>
  </w:style>
  <w:style w:type="character" w:styleId="Textedelespacerserv">
    <w:name w:val="Placeholder Text"/>
    <w:basedOn w:val="Policepardfaut"/>
    <w:uiPriority w:val="99"/>
    <w:semiHidden/>
    <w:rsid w:val="00495094"/>
    <w:rPr>
      <w:color w:val="808080"/>
    </w:rPr>
  </w:style>
  <w:style w:type="character" w:styleId="Marquedecommentaire">
    <w:name w:val="annotation reference"/>
    <w:basedOn w:val="Policepardfaut"/>
    <w:uiPriority w:val="99"/>
    <w:semiHidden/>
    <w:unhideWhenUsed/>
    <w:rsid w:val="00C579A3"/>
    <w:rPr>
      <w:sz w:val="16"/>
      <w:szCs w:val="16"/>
    </w:rPr>
  </w:style>
  <w:style w:type="paragraph" w:styleId="Commentaire">
    <w:name w:val="annotation text"/>
    <w:basedOn w:val="Normal"/>
    <w:link w:val="CommentaireCar"/>
    <w:uiPriority w:val="99"/>
    <w:unhideWhenUsed/>
    <w:rsid w:val="00C579A3"/>
    <w:pPr>
      <w:spacing w:line="240" w:lineRule="auto"/>
    </w:pPr>
    <w:rPr>
      <w:sz w:val="20"/>
      <w:szCs w:val="20"/>
    </w:rPr>
  </w:style>
  <w:style w:type="character" w:customStyle="1" w:styleId="CommentaireCar">
    <w:name w:val="Commentaire Car"/>
    <w:basedOn w:val="Policepardfaut"/>
    <w:link w:val="Commentaire"/>
    <w:uiPriority w:val="99"/>
    <w:rsid w:val="00C579A3"/>
    <w:rPr>
      <w:sz w:val="20"/>
      <w:szCs w:val="20"/>
    </w:rPr>
  </w:style>
  <w:style w:type="paragraph" w:styleId="Objetducommentaire">
    <w:name w:val="annotation subject"/>
    <w:basedOn w:val="Commentaire"/>
    <w:next w:val="Commentaire"/>
    <w:link w:val="ObjetducommentaireCar"/>
    <w:uiPriority w:val="99"/>
    <w:semiHidden/>
    <w:unhideWhenUsed/>
    <w:rsid w:val="00C579A3"/>
    <w:rPr>
      <w:b/>
      <w:bCs/>
    </w:rPr>
  </w:style>
  <w:style w:type="character" w:customStyle="1" w:styleId="ObjetducommentaireCar">
    <w:name w:val="Objet du commentaire Car"/>
    <w:basedOn w:val="CommentaireCar"/>
    <w:link w:val="Objetducommentaire"/>
    <w:uiPriority w:val="99"/>
    <w:semiHidden/>
    <w:rsid w:val="00C579A3"/>
    <w:rPr>
      <w:b/>
      <w:bCs/>
      <w:sz w:val="20"/>
      <w:szCs w:val="20"/>
    </w:rPr>
  </w:style>
  <w:style w:type="character" w:customStyle="1" w:styleId="label-z">
    <w:name w:val="label-z"/>
    <w:basedOn w:val="Policepardfaut"/>
    <w:rsid w:val="00925FCB"/>
  </w:style>
  <w:style w:type="character" w:customStyle="1" w:styleId="widthfixforlabel">
    <w:name w:val="widthfixforlabel"/>
    <w:basedOn w:val="Policepardfaut"/>
    <w:rsid w:val="00925FCB"/>
  </w:style>
  <w:style w:type="character" w:customStyle="1" w:styleId="paragraph">
    <w:name w:val="paragraph"/>
    <w:basedOn w:val="Policepardfaut"/>
    <w:rsid w:val="00925FCB"/>
  </w:style>
  <w:style w:type="character" w:styleId="Lienhypertexte">
    <w:name w:val="Hyperlink"/>
    <w:basedOn w:val="Policepardfaut"/>
    <w:uiPriority w:val="99"/>
    <w:unhideWhenUsed/>
    <w:rsid w:val="004D2F99"/>
    <w:rPr>
      <w:color w:val="0563C1" w:themeColor="hyperlink"/>
      <w:u w:val="single"/>
    </w:rPr>
  </w:style>
  <w:style w:type="character" w:styleId="Mentionnonrsolue">
    <w:name w:val="Unresolved Mention"/>
    <w:basedOn w:val="Policepardfaut"/>
    <w:uiPriority w:val="99"/>
    <w:semiHidden/>
    <w:unhideWhenUsed/>
    <w:rsid w:val="004D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4203">
      <w:bodyDiv w:val="1"/>
      <w:marLeft w:val="0"/>
      <w:marRight w:val="0"/>
      <w:marTop w:val="0"/>
      <w:marBottom w:val="0"/>
      <w:divBdr>
        <w:top w:val="none" w:sz="0" w:space="0" w:color="auto"/>
        <w:left w:val="none" w:sz="0" w:space="0" w:color="auto"/>
        <w:bottom w:val="none" w:sz="0" w:space="0" w:color="auto"/>
        <w:right w:val="none" w:sz="0" w:space="0" w:color="auto"/>
      </w:divBdr>
      <w:divsChild>
        <w:div w:id="1645430247">
          <w:marLeft w:val="0"/>
          <w:marRight w:val="0"/>
          <w:marTop w:val="219"/>
          <w:marBottom w:val="0"/>
          <w:divBdr>
            <w:top w:val="none" w:sz="0" w:space="0" w:color="auto"/>
            <w:left w:val="none" w:sz="0" w:space="0" w:color="auto"/>
            <w:bottom w:val="none" w:sz="0" w:space="0" w:color="auto"/>
            <w:right w:val="none" w:sz="0" w:space="0" w:color="auto"/>
          </w:divBdr>
        </w:div>
        <w:div w:id="1316837067">
          <w:marLeft w:val="0"/>
          <w:marRight w:val="0"/>
          <w:marTop w:val="219"/>
          <w:marBottom w:val="0"/>
          <w:divBdr>
            <w:top w:val="none" w:sz="0" w:space="0" w:color="auto"/>
            <w:left w:val="none" w:sz="0" w:space="0" w:color="auto"/>
            <w:bottom w:val="none" w:sz="0" w:space="0" w:color="auto"/>
            <w:right w:val="none" w:sz="0" w:space="0" w:color="auto"/>
          </w:divBdr>
        </w:div>
        <w:div w:id="1142426268">
          <w:marLeft w:val="0"/>
          <w:marRight w:val="0"/>
          <w:marTop w:val="21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quebec.gouv.qc.ca/fr/document/rc/S-2.1,%20r.%2013?langCont=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4419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Lumperdean, Andreea</dc:creator>
  <cp:keywords/>
  <dc:description/>
  <cp:lastModifiedBy>Sauriol, Isabelle</cp:lastModifiedBy>
  <cp:revision>2</cp:revision>
  <dcterms:created xsi:type="dcterms:W3CDTF">2023-11-27T14:13:00Z</dcterms:created>
  <dcterms:modified xsi:type="dcterms:W3CDTF">2023-11-27T14:13:00Z</dcterms:modified>
</cp:coreProperties>
</file>